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9.png" ContentType="image/png"/>
  <Override PartName="/word/media/rId33.png" ContentType="image/png"/>
  <Override PartName="/word/media/rId2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 Matched-Null Test of Whether the Clusters a Pipeline Reports Are Real, With an Application to Personality Types</w:t>
      </w:r>
    </w:p>
    <w:p>
      <w:pPr>
        <w:pStyle w:val="Author"/>
      </w:pPr>
      <w:r>
        <w:t xml:space="preserve">Miura Meng — Graduate School of Education, University of Pennsylvania</w:t>
      </w:r>
    </w:p>
    <w:p>
      <w:pPr>
        <w:pStyle w:val="Date"/>
      </w:pPr>
      <w:r>
        <w:t xml:space="preserve">2026-07-11</w:t>
      </w:r>
    </w:p>
    <w:p>
      <w:pPr>
        <w:pStyle w:val="AbstractTitle"/>
      </w:pPr>
      <w:r>
        <w:t xml:space="preserve">Abstract</w:t>
      </w:r>
    </w:p>
    <w:p>
      <w:pPr>
        <w:pStyle w:val="Abstract"/>
      </w:pPr>
      <w:r>
        <w:t xml:space="preserve">A clustering algorithm applied to continuous data will report some number of clusters, or</w:t>
      </w:r>
      <w:r>
        <w:t xml:space="preserve"> </w:t>
      </w:r>
      <w:r>
        <w:t xml:space="preserve">“types,”</w:t>
      </w:r>
      <w:r>
        <w:t xml:space="preserve"> </w:t>
      </w:r>
      <w:r>
        <w:t xml:space="preserve">whether or not any exist, and a selection criterion will usually prefer more than one.</w:t>
      </w:r>
      <w:r>
        <w:t xml:space="preserve"> </w:t>
      </w:r>
      <w:r>
        <w:t xml:space="preserve">This tutorial introduces matchednull, an R package implementing a general test of whether a</w:t>
      </w:r>
      <w:r>
        <w:t xml:space="preserve"> </w:t>
      </w:r>
      <w:r>
        <w:t xml:space="preserve">reported cluster count describes the population or only the shape of the data. The test builds</w:t>
      </w:r>
      <w:r>
        <w:t xml:space="preserve"> </w:t>
      </w:r>
      <w:r>
        <w:t xml:space="preserve">a matched null: a synthetic twin of the dataset that preserves every variable’s distribution</w:t>
      </w:r>
      <w:r>
        <w:t xml:space="preserve"> </w:t>
      </w:r>
      <w:r>
        <w:t xml:space="preserve">exactly and the full correlation matrix, while containing no clusters by construction. Because</w:t>
      </w:r>
      <w:r>
        <w:t xml:space="preserve"> </w:t>
      </w:r>
      <w:r>
        <w:t xml:space="preserve">the null is defined on the data rather than on any algorithm, the user’s own pipeline runs</w:t>
      </w:r>
      <w:r>
        <w:t xml:space="preserve"> </w:t>
      </w:r>
      <w:r>
        <w:t xml:space="preserve">unchanged on data and twins alike, and the real count is read against the twins’ distribution. In calibration on typeless data with skewed</w:t>
      </w:r>
      <w:r>
        <w:t xml:space="preserve"> </w:t>
      </w:r>
      <w:r>
        <w:t xml:space="preserve">margins, BIC selection and the bootstrap likelihood-ratio test report spurious structure in</w:t>
      </w:r>
      <w:r>
        <w:t xml:space="preserve"> </w:t>
      </w:r>
      <w:r>
        <w:t xml:space="preserve">every dataset while the matched-null test fires in none; in positive controls the test detects</w:t>
      </w:r>
      <w:r>
        <w:t xml:space="preserve"> </w:t>
      </w:r>
      <w:r>
        <w:t xml:space="preserve">types built into synthetic data, including types that leave every marginal distribution</w:t>
      </w:r>
      <w:r>
        <w:t xml:space="preserve"> </w:t>
      </w:r>
      <w:r>
        <w:t xml:space="preserve">untouched. A worked example applies the full workflow, preregistered and run on held-out data,</w:t>
      </w:r>
      <w:r>
        <w:t xml:space="preserve"> </w:t>
      </w:r>
      <w:r>
        <w:t xml:space="preserve">to three public personality datasets totaling roughly one million respondents: the number of</w:t>
      </w:r>
      <w:r>
        <w:t xml:space="preserve"> </w:t>
      </w:r>
      <w:r>
        <w:t xml:space="preserve">“types”</w:t>
      </w:r>
      <w:r>
        <w:t xml:space="preserve"> </w:t>
      </w:r>
      <w:r>
        <w:t xml:space="preserve">selected swings from one to ten with a single covariance setting, and by the registered</w:t>
      </w:r>
      <w:r>
        <w:t xml:space="preserve"> </w:t>
      </w:r>
      <w:r>
        <w:t xml:space="preserve">statistic it never exceeds what the typeless twin produces, under a Gaussian mixture and under</w:t>
      </w:r>
      <w:r>
        <w:t xml:space="preserve"> </w:t>
      </w:r>
      <w:r>
        <w:t xml:space="preserve">k-means alike. The tutorial closes with the test’s operating boundaries and what exceeding</w:t>
      </w:r>
      <w:r>
        <w:t xml:space="preserve"> </w:t>
      </w:r>
      <w:r>
        <w:t xml:space="preserve">the null does and does not mean.</w:t>
      </w:r>
    </w:p>
    <w:p>
      <w:pPr>
        <w:pStyle w:val="FirstParagraph"/>
      </w:pPr>
      <w:r>
        <w:rPr>
          <w:i/>
          <w:iCs/>
        </w:rPr>
        <w:t xml:space="preserve">Keywords:</w:t>
      </w:r>
      <w:r>
        <w:t xml:space="preserve"> </w:t>
      </w:r>
      <w:r>
        <w:t xml:space="preserve">cluster analysis, matched null, mixture models, taxometrics, R package</w:t>
      </w:r>
    </w:p>
    <w:p>
      <w:pPr>
        <w:pStyle w:val="BodyText"/>
      </w:pPr>
      <w:r>
        <w:rPr>
          <w:i/>
          <w:iCs/>
        </w:rPr>
        <w:t xml:space="preserve">Correspondence concerning this article should be addressed to Miura Meng, Graduate School of Education, University of Pennsylvania, Philadelphia, PA 19104, United States. Email: meng10@upenn.edu</w:t>
      </w:r>
    </w:p>
    <w:bookmarkStart w:id="10" w:name="the-problem"/>
    <w:p>
      <w:pPr>
        <w:pStyle w:val="Heading1"/>
      </w:pPr>
      <w:r>
        <w:t xml:space="preserve">The problem</w:t>
      </w:r>
    </w:p>
    <w:p>
      <w:pPr>
        <w:pStyle w:val="FirstParagraph"/>
      </w:pPr>
      <w:r>
        <w:t xml:space="preserve">Run a clustering method on continuous data and it will hand back clusters. Give a Gaussian</w:t>
      </w:r>
      <w:r>
        <w:t xml:space="preserve"> </w:t>
      </w:r>
      <w:r>
        <w:t xml:space="preserve">mixture model a single smooth cloud of points and it still reports two or three or ten</w:t>
      </w:r>
      <w:r>
        <w:t xml:space="preserve"> </w:t>
      </w:r>
      <w:r>
        <w:t xml:space="preserve">components, because each added component trims the fit a little and the selection criterion</w:t>
      </w:r>
      <w:r>
        <w:t xml:space="preserve"> </w:t>
      </w:r>
      <w:r>
        <w:t xml:space="preserve">takes the trade. The same holds for k-means with any count heuristic, for latent class and</w:t>
      </w:r>
      <w:r>
        <w:t xml:space="preserve"> </w:t>
      </w:r>
      <w:r>
        <w:t xml:space="preserve">latent profile models, and for hierarchical methods cut at a chosen height. A clean partition</w:t>
      </w:r>
      <w:r>
        <w:t xml:space="preserve"> </w:t>
      </w:r>
      <w:r>
        <w:t xml:space="preserve">on its own therefore establishes very little, and the announcement that</w:t>
      </w:r>
      <w:r>
        <w:t xml:space="preserve"> </w:t>
      </w:r>
      <w:r>
        <w:t xml:space="preserve">“the data contain</w:t>
      </w:r>
      <w:r>
        <w:t xml:space="preserve"> </w:t>
      </w:r>
      <w:r>
        <w:t xml:space="preserve">k clusters”</w:t>
      </w:r>
      <w:r>
        <w:t xml:space="preserve"> </w:t>
      </w:r>
      <w:r>
        <w:t xml:space="preserve">quietly mixes a fact about people with a fact about the procedure.</w:t>
      </w:r>
    </w:p>
    <w:p>
      <w:pPr>
        <w:pStyle w:val="BodyText"/>
      </w:pPr>
      <w:r>
        <w:t xml:space="preserve">The announcement is common. Clinical subtypes, learner profiles, market segments, and</w:t>
      </w:r>
      <w:r>
        <w:t xml:space="preserve"> </w:t>
      </w:r>
      <w:r>
        <w:t xml:space="preserve">data-driven personality types are all, statistically, the same claim: a clustering pipeline</w:t>
      </w:r>
      <w:r>
        <w:t xml:space="preserve"> </w:t>
      </w:r>
      <w:r>
        <w:t xml:space="preserve">selected some number of groups, and the number is offered as a property of the population. The</w:t>
      </w:r>
      <w:r>
        <w:t xml:space="preserve"> </w:t>
      </w:r>
      <w:r>
        <w:t xml:space="preserve">best-known recent case is in personality, where a widely cited paper reported four personality</w:t>
      </w:r>
      <w:r>
        <w:t xml:space="preserve"> </w:t>
      </w:r>
      <w:r>
        <w:t xml:space="preserve">types in large trait datasets</w:t>
      </w:r>
      <w:r>
        <w:t xml:space="preserve"> </w:t>
      </w:r>
      <w:r>
        <w:t xml:space="preserve">(Gerlach et al., 2018)</w:t>
      </w:r>
      <w:r>
        <w:t xml:space="preserve">. That mixture models over-extract components when</w:t>
      </w:r>
      <w:r>
        <w:t xml:space="preserve"> </w:t>
      </w:r>
      <w:r>
        <w:t xml:space="preserve">continuous data depart from normality is well established</w:t>
      </w:r>
      <w:r>
        <w:t xml:space="preserve"> </w:t>
      </w:r>
      <w:r>
        <w:t xml:space="preserve">(Bauer &amp; Curran, 2003)</w:t>
      </w:r>
      <w:r>
        <w:t xml:space="preserve">, so the reported number</w:t>
      </w:r>
      <w:r>
        <w:t xml:space="preserve"> </w:t>
      </w:r>
      <w:r>
        <w:t xml:space="preserve">may describe the respondents, or only the method. The problem this tutorial addresses is how to</w:t>
      </w:r>
      <w:r>
        <w:t xml:space="preserve"> </w:t>
      </w:r>
      <w:r>
        <w:t xml:space="preserve">tell.</w:t>
      </w:r>
    </w:p>
    <w:p>
      <w:pPr>
        <w:pStyle w:val="BodyText"/>
      </w:pPr>
      <w:r>
        <w:t xml:space="preserve">What is needed is a null: a version of the data that contains no clusters, against which the</w:t>
      </w:r>
      <w:r>
        <w:t xml:space="preserve"> </w:t>
      </w:r>
      <w:r>
        <w:t xml:space="preserve">real count can be read. The nulls in common use set the bar too low or answer a different</w:t>
      </w:r>
      <w:r>
        <w:t xml:space="preserve"> </w:t>
      </w:r>
      <w:r>
        <w:t xml:space="preserve">question. Shuffling every association out of the data</w:t>
      </w:r>
      <w:r>
        <w:t xml:space="preserve"> </w:t>
      </w:r>
      <w:r>
        <w:t xml:space="preserve">(Gerlach et al., 2018)</w:t>
      </w:r>
      <w:r>
        <w:t xml:space="preserve"> </w:t>
      </w:r>
      <w:r>
        <w:t xml:space="preserve">destroys the correlations,</w:t>
      </w:r>
      <w:r>
        <w:t xml:space="preserve"> </w:t>
      </w:r>
      <w:r>
        <w:t xml:space="preserve">and correlated data clear that bar without containing any groups; a published comment made this</w:t>
      </w:r>
      <w:r>
        <w:t xml:space="preserve"> </w:t>
      </w:r>
      <w:r>
        <w:t xml:space="preserve">criticism but did not supply the null it called for</w:t>
      </w:r>
      <w:r>
        <w:t xml:space="preserve"> </w:t>
      </w:r>
      <w:r>
        <w:t xml:space="preserve">(Katahira et al., 2020)</w:t>
      </w:r>
      <w:r>
        <w:t xml:space="preserve">. The gap statistic compares</w:t>
      </w:r>
      <w:r>
        <w:t xml:space="preserve"> </w:t>
      </w:r>
      <w:r>
        <w:t xml:space="preserve">the observed clustering to a uniform reference with no dependence at all</w:t>
      </w:r>
      <w:r>
        <w:t xml:space="preserve"> </w:t>
      </w:r>
      <w:r>
        <w:t xml:space="preserve">(Tibshirani et al., 2001)</w:t>
      </w:r>
      <w:r>
        <w:t xml:space="preserve">,</w:t>
      </w:r>
      <w:r>
        <w:t xml:space="preserve"> </w:t>
      </w:r>
      <w:r>
        <w:t xml:space="preserve">which correlated data clear as easily. The bootstrap likelihood-ratio test</w:t>
      </w:r>
      <w:r>
        <w:t xml:space="preserve"> </w:t>
      </w:r>
      <w:r>
        <w:t xml:space="preserve">(McLachlan, 1987)</w:t>
      </w:r>
      <w:r>
        <w:t xml:space="preserve"> </w:t>
      </w:r>
      <w:r>
        <w:t xml:space="preserve">asks</w:t>
      </w:r>
      <w:r>
        <w:t xml:space="preserve"> </w:t>
      </w:r>
      <w:r>
        <w:t xml:space="preserve">whether</w:t>
      </w:r>
      <w:r>
        <w:t xml:space="preserve"> </w:t>
      </w:r>
      <m:oMath>
        <m:r>
          <m:t>k</m:t>
        </m:r>
        <m:r>
          <m:rPr>
            <m:sty m:val="p"/>
          </m:rPr>
          <m:t>+</m:t>
        </m:r>
        <m:r>
          <m:t>1</m:t>
        </m:r>
      </m:oMath>
      <w:r>
        <w:t xml:space="preserve"> </w:t>
      </w:r>
      <w:r>
        <w:t xml:space="preserve">components fit better than</w:t>
      </w:r>
      <w:r>
        <w:t xml:space="preserve"> </w:t>
      </w:r>
      <m:oMath>
        <m:r>
          <m:t>k</m:t>
        </m:r>
      </m:oMath>
      <w:r>
        <w:t xml:space="preserve"> </w:t>
      </w:r>
      <w:r>
        <w:t xml:space="preserve">within an assumed parametric family, which means</w:t>
      </w:r>
      <w:r>
        <w:t xml:space="preserve"> </w:t>
      </w:r>
      <w:r>
        <w:t xml:space="preserve">committing to that family rather than holding the data’s own structure fixed. SigClust</w:t>
      </w:r>
      <w:r>
        <w:t xml:space="preserve"> </w:t>
      </w:r>
      <w:r>
        <w:t xml:space="preserve">(Liu et al., 2008)</w:t>
      </w:r>
      <w:r>
        <w:t xml:space="preserve"> </w:t>
      </w:r>
      <w:r>
        <w:t xml:space="preserve">tests whether any two-group split beats a single Gaussian, so it speaks to whether</w:t>
      </w:r>
      <w:r>
        <w:t xml:space="preserve"> </w:t>
      </w:r>
      <w:r>
        <w:t xml:space="preserve">clustering exists rather than to how many, and its Gaussian assumption is the very one that</w:t>
      </w:r>
      <w:r>
        <w:t xml:space="preserve"> </w:t>
      </w:r>
      <w:r>
        <w:t xml:space="preserve">fails on skewed data. Taxometric procedures</w:t>
      </w:r>
      <w:r>
        <w:t xml:space="preserve"> </w:t>
      </w:r>
      <w:r>
        <w:t xml:space="preserve">(Meehl, 1995; Ruscio et al., 2006)</w:t>
      </w:r>
      <w:r>
        <w:t xml:space="preserve"> </w:t>
      </w:r>
      <w:r>
        <w:t xml:space="preserve">ask the</w:t>
      </w:r>
      <w:r>
        <w:t xml:space="preserve"> </w:t>
      </w:r>
      <w:r>
        <w:t xml:space="preserve">categorical-versus-continuous question directly and well, but from a fixed indicator set; they</w:t>
      </w:r>
      <w:r>
        <w:t xml:space="preserve"> </w:t>
      </w:r>
      <w:r>
        <w:t xml:space="preserve">do not say how many clusters there are or how that number moves when the model changes.</w:t>
      </w:r>
    </w:p>
    <w:p>
      <w:pPr>
        <w:pStyle w:val="BodyText"/>
      </w:pPr>
      <w:r>
        <w:t xml:space="preserve">The test presented here fills that gap with a matched null borrowed from the surrogate-data</w:t>
      </w:r>
      <w:r>
        <w:t xml:space="preserve"> </w:t>
      </w:r>
      <w:r>
        <w:t xml:space="preserve">tradition of nonlinear time-series analysis</w:t>
      </w:r>
      <w:r>
        <w:t xml:space="preserve"> </w:t>
      </w:r>
      <w:r>
        <w:t xml:space="preserve">(Schreiber &amp; Schmitz, 2000; Theiler et al., 1992)</w:t>
      </w:r>
      <w:r>
        <w:t xml:space="preserve">: fix everything</w:t>
      </w:r>
      <w:r>
        <w:t xml:space="preserve"> </w:t>
      </w:r>
      <w:r>
        <w:t xml:space="preserve">innocent about the dataset, randomize only the thing in question, and ask whether the real</w:t>
      </w:r>
      <w:r>
        <w:t xml:space="preserve"> </w:t>
      </w:r>
      <w:r>
        <w:t xml:space="preserve">statistic exceeds its surrogate distribution. For a claim about clusters, the innocent features</w:t>
      </w:r>
      <w:r>
        <w:t xml:space="preserve"> </w:t>
      </w:r>
      <w:r>
        <w:t xml:space="preserve">are each variable’s distribution and the correlations among variables; the thing in question is</w:t>
      </w:r>
      <w:r>
        <w:t xml:space="preserve"> </w:t>
      </w:r>
      <w:r>
        <w:t xml:space="preserve">everything beyond them, which is where latent groups live. The matchednull package implements</w:t>
      </w:r>
      <w:r>
        <w:t xml:space="preserve"> </w:t>
      </w:r>
      <w:r>
        <w:t xml:space="preserve">this construction, the count test around it, and the follow-up checks that separate</w:t>
      </w:r>
      <w:r>
        <w:t xml:space="preserve"> </w:t>
      </w:r>
      <w:r>
        <w:t xml:space="preserve">“more</w:t>
      </w:r>
      <w:r>
        <w:t xml:space="preserve"> </w:t>
      </w:r>
      <w:r>
        <w:t xml:space="preserve">structure than the null”</w:t>
      </w:r>
      <w:r>
        <w:t xml:space="preserve"> </w:t>
      </w:r>
      <w:r>
        <w:t xml:space="preserve">from</w:t>
      </w:r>
      <w:r>
        <w:t xml:space="preserve"> </w:t>
      </w:r>
      <w:r>
        <w:t xml:space="preserve">“categories of people.”</w:t>
      </w:r>
      <w:r>
        <w:t xml:space="preserve"> </w:t>
      </w:r>
      <w:r>
        <w:t xml:space="preserve">The package is available on GitHub at</w:t>
      </w:r>
      <w:r>
        <w:t xml:space="preserve"> </w:t>
      </w:r>
      <w:hyperlink r:id="rId9">
        <w:r>
          <w:rPr>
            <w:rStyle w:val="Hyperlink"/>
          </w:rPr>
          <w:t xml:space="preserve">https://github.com/haomeng797-ship-it/matchednull</w:t>
        </w:r>
      </w:hyperlink>
      <w:r>
        <w:t xml:space="preserve"> </w:t>
      </w:r>
      <w:r>
        <w:t xml:space="preserve">and has been submitted to CRAN.</w:t>
      </w:r>
    </w:p>
    <w:bookmarkEnd w:id="10"/>
    <w:bookmarkStart w:id="13" w:name="the-idea-a-null-twin"/>
    <w:p>
      <w:pPr>
        <w:pStyle w:val="Heading1"/>
      </w:pPr>
      <w:r>
        <w:t xml:space="preserve">The idea: a null twin</w:t>
      </w:r>
    </w:p>
    <w:p>
      <w:pPr>
        <w:pStyle w:val="FirstParagraph"/>
      </w:pPr>
      <w:r>
        <w:t xml:space="preserve">The null is a Gaussian copula</w:t>
      </w:r>
      <w:r>
        <w:t xml:space="preserve"> </w:t>
      </w:r>
      <w:r>
        <w:t xml:space="preserve">(Sklar, 1959)</w:t>
      </w:r>
      <w:r>
        <w:t xml:space="preserve">. It keeps every trait’s distribution and the whole</w:t>
      </w:r>
      <w:r>
        <w:t xml:space="preserve"> </w:t>
      </w:r>
      <w:r>
        <w:t xml:space="preserve">covariance matrix and scrambles only what is left, the higher-order dependence, so a cluster</w:t>
      </w:r>
      <w:r>
        <w:t xml:space="preserve"> </w:t>
      </w:r>
      <w:r>
        <w:t xml:space="preserve">counts as real only if it survives a world that already shares the data’s margins and</w:t>
      </w:r>
      <w:r>
        <w:t xml:space="preserve"> </w:t>
      </w:r>
      <w:r>
        <w:t xml:space="preserve">correlations.</w:t>
      </w:r>
    </w:p>
    <w:p>
      <w:pPr>
        <w:pStyle w:val="BodyText"/>
      </w:pPr>
      <w:r>
        <w:t xml:space="preserve">Pictured as a three-story building, the data hold their marginals, each variable’s histogram,</w:t>
      </w:r>
      <w:r>
        <w:t xml:space="preserve"> </w:t>
      </w:r>
      <w:r>
        <w:t xml:space="preserve">on the ground floor, and their pairwise correlations on the second; everything from the third</w:t>
      </w:r>
      <w:r>
        <w:t xml:space="preserve"> </w:t>
      </w:r>
      <w:r>
        <w:t xml:space="preserve">floor up is higher-order dependence, where any latent types would live, since groups within a</w:t>
      </w:r>
      <w:r>
        <w:t xml:space="preserve"> </w:t>
      </w:r>
      <w:r>
        <w:t xml:space="preserve">dataset show up as conditional dependencies beyond the linear correlation. The copula null</w:t>
      </w:r>
      <w:r>
        <w:t xml:space="preserve"> </w:t>
      </w:r>
      <w:r>
        <w:t xml:space="preserve">rebuilds the ground floor and the second floor exactly as in the real data and leaves every</w:t>
      </w:r>
      <w:r>
        <w:t xml:space="preserve"> </w:t>
      </w:r>
      <w:r>
        <w:t xml:space="preserve">floor above empty: once the correlation matrix is fixed, its Gaussian dependence adds no further</w:t>
      </w:r>
      <w:r>
        <w:t xml:space="preserve"> </w:t>
      </w:r>
      <w:r>
        <w:t xml:space="preserve">joint structure. If clustering finds as many components in a building whose upper floors are</w:t>
      </w:r>
      <w:r>
        <w:t xml:space="preserve"> </w:t>
      </w:r>
      <w:r>
        <w:t xml:space="preserve">empty as it does in the real data, those components were never on the upper floors of the real</w:t>
      </w:r>
      <w:r>
        <w:t xml:space="preserve"> </w:t>
      </w:r>
      <w:r>
        <w:t xml:space="preserve">data either; they were the shape of the lower two all along.</w:t>
      </w:r>
    </w:p>
    <w:p>
      <w:pPr>
        <w:pStyle w:val="BodyText"/>
      </w:pPr>
      <w:r>
        <w:t xml:space="preserve">The construction is a single rank transformation:</w:t>
      </w:r>
    </w:p>
    <w:p>
      <w:pPr>
        <w:pStyle w:val="BlockText"/>
      </w:pPr>
      <w:r>
        <w:rPr>
          <w:b/>
          <w:bCs/>
        </w:rPr>
        <w:t xml:space="preserve">Algorithm 1. Gaussian-copula matched null.</w:t>
      </w:r>
    </w:p>
    <w:p>
      <w:pPr>
        <w:pStyle w:val="BlockText"/>
      </w:pPr>
      <w:r>
        <w:rPr>
          <w:i/>
          <w:iCs/>
        </w:rPr>
        <w:t xml:space="preserve">Input:</w:t>
      </w:r>
      <w:r>
        <w:t xml:space="preserve"> </w:t>
      </w:r>
      <w:r>
        <w:t xml:space="preserve">a real</w:t>
      </w:r>
      <w:r>
        <w:t xml:space="preserve"> </w:t>
      </w:r>
      <m:oMath>
        <m:r>
          <m:t>n</m:t>
        </m:r>
        <m:r>
          <m:rPr>
            <m:sty m:val="p"/>
          </m:rPr>
          <m:t>×</m:t>
        </m:r>
        <m:r>
          <m:t>p</m:t>
        </m:r>
      </m:oMath>
      <w:r>
        <w:t xml:space="preserve"> </w:t>
      </w:r>
      <w:r>
        <w:t xml:space="preserve">data matrix</w:t>
      </w:r>
      <w:r>
        <w:t xml:space="preserve"> </w:t>
      </w:r>
      <m:oMath>
        <m:r>
          <m:rPr>
            <m:sty m:val="b"/>
          </m:rPr>
          <m:t>X</m:t>
        </m:r>
      </m:oMath>
      <w:r>
        <w:t xml:space="preserve">.</w:t>
      </w:r>
    </w:p>
    <w:p>
      <w:pPr>
        <w:pStyle w:val="Compact"/>
        <w:numPr>
          <w:ilvl w:val="0"/>
          <w:numId w:val="1001"/>
        </w:numPr>
      </w:pPr>
      <w:r>
        <w:t xml:space="preserve">Take the correlation matrix</w:t>
      </w:r>
      <w:r>
        <w:t xml:space="preserve"> </w:t>
      </w:r>
      <m:oMath>
        <m:r>
          <m:rPr>
            <m:sty m:val="b"/>
          </m:rPr>
          <m:t>C</m:t>
        </m:r>
        <m:r>
          <m:rPr>
            <m:sty m:val="p"/>
          </m:rPr>
          <m:t>=</m:t>
        </m:r>
        <m:r>
          <m:rPr>
            <m:sty m:val="p"/>
          </m:rPr>
          <m:t>cor</m:t>
        </m:r>
        <m:r>
          <m:rPr>
            <m:sty m:val="p"/>
          </m:rPr>
          <m:t>(</m:t>
        </m:r>
        <m:r>
          <m:rPr>
            <m:sty m:val="b"/>
          </m:rPr>
          <m:t>X</m:t>
        </m:r>
        <m:r>
          <m:rPr>
            <m:sty m:val="p"/>
          </m:rPr>
          <m:t>)</m:t>
        </m:r>
      </m:oMath>
      <w:r>
        <w:t xml:space="preserve"> </w:t>
      </w:r>
      <w:r>
        <w:t xml:space="preserve">and its Cholesky</w:t>
      </w:r>
      <w:r>
        <w:t xml:space="preserve"> </w:t>
      </w:r>
      <w:r>
        <w:t xml:space="preserve">factor</w:t>
      </w:r>
      <w:r>
        <w:t xml:space="preserve"> </w:t>
      </w:r>
      <m:oMath>
        <m:r>
          <m:rPr>
            <m:sty m:val="b"/>
          </m:rPr>
          <m:t>L</m:t>
        </m:r>
      </m:oMath>
      <w:r>
        <w:t xml:space="preserve"> </w:t>
      </w:r>
      <w:r>
        <w:t xml:space="preserve">(adding a</w:t>
      </w:r>
      <w:r>
        <w:t xml:space="preserve"> </w:t>
      </w:r>
      <m:oMath>
        <m:sSup>
          <m:e>
            <m:r>
              <m:t>10</m:t>
            </m:r>
          </m:e>
          <m:sup>
            <m:r>
              <m:rPr>
                <m:sty m:val="p"/>
              </m:rPr>
              <m:t>−</m:t>
            </m:r>
            <m:r>
              <m:t>6</m:t>
            </m:r>
          </m:sup>
        </m:sSup>
      </m:oMath>
      <w:r>
        <w:t xml:space="preserve"> </w:t>
      </w:r>
      <w:r>
        <w:t xml:space="preserve">ridge to the diagonal if</w:t>
      </w:r>
      <w:r>
        <w:t xml:space="preserve"> </w:t>
      </w:r>
      <m:oMath>
        <m:r>
          <m:rPr>
            <m:sty m:val="b"/>
          </m:rPr>
          <m:t>C</m:t>
        </m:r>
      </m:oMath>
      <w:r>
        <w:t xml:space="preserve"> </w:t>
      </w:r>
      <w:r>
        <w:t xml:space="preserve">is not</w:t>
      </w:r>
      <w:r>
        <w:t xml:space="preserve"> </w:t>
      </w:r>
      <w:r>
        <w:t xml:space="preserve">positive definite).</w:t>
      </w:r>
    </w:p>
    <w:p>
      <w:pPr>
        <w:pStyle w:val="Compact"/>
        <w:numPr>
          <w:ilvl w:val="0"/>
          <w:numId w:val="1001"/>
        </w:numPr>
      </w:pPr>
      <w:r>
        <w:t xml:space="preserve">Draw</w:t>
      </w:r>
      <w:r>
        <w:t xml:space="preserve"> </w:t>
      </w:r>
      <m:oMath>
        <m:r>
          <m:rPr>
            <m:sty m:val="b"/>
          </m:rPr>
          <m:t>Z</m:t>
        </m:r>
      </m:oMath>
      <w:r>
        <w:t xml:space="preserve">, an</w:t>
      </w:r>
      <w:r>
        <w:t xml:space="preserve"> </w:t>
      </w:r>
      <m:oMath>
        <m:r>
          <m:t>n</m:t>
        </m:r>
        <m:r>
          <m:rPr>
            <m:sty m:val="p"/>
          </m:rPr>
          <m:t>×</m:t>
        </m:r>
        <m:r>
          <m:t>p</m:t>
        </m:r>
      </m:oMath>
      <w:r>
        <w:t xml:space="preserve"> </w:t>
      </w:r>
      <w:r>
        <w:t xml:space="preserve">matrix of independent standard-normal values, and set</w:t>
      </w:r>
      <w:r>
        <w:t xml:space="preserve"> </w:t>
      </w:r>
      <m:oMath>
        <m:r>
          <m:rPr>
            <m:sty m:val="b"/>
          </m:rPr>
          <m:t>Y</m:t>
        </m:r>
        <m:r>
          <m:rPr>
            <m:sty m:val="p"/>
          </m:rPr>
          <m:t>=</m:t>
        </m:r>
        <m:r>
          <m:rPr>
            <m:sty m:val="b"/>
          </m:rPr>
          <m:t>Z</m:t>
        </m:r>
        <m:r>
          <m:rPr>
            <m:sty m:val="b"/>
          </m:rPr>
          <m:t>L</m:t>
        </m:r>
      </m:oMath>
      <w:r>
        <w:t xml:space="preserve">, so that</w:t>
      </w:r>
      <w:r>
        <w:t xml:space="preserve"> </w:t>
      </w:r>
      <m:oMath>
        <m:r>
          <m:rPr>
            <m:sty m:val="b"/>
          </m:rPr>
          <m:t>Y</m:t>
        </m:r>
      </m:oMath>
      <w:r>
        <w:t xml:space="preserve"> </w:t>
      </w:r>
      <w:r>
        <w:t xml:space="preserve">carries the same correlations as</w:t>
      </w:r>
      <w:r>
        <w:t xml:space="preserve"> </w:t>
      </w:r>
      <m:oMath>
        <m:r>
          <m:rPr>
            <m:sty m:val="b"/>
          </m:rPr>
          <m:t>X</m:t>
        </m:r>
      </m:oMath>
      <w:r>
        <w:t xml:space="preserve">.</w:t>
      </w:r>
    </w:p>
    <w:p>
      <w:pPr>
        <w:pStyle w:val="Compact"/>
        <w:numPr>
          <w:ilvl w:val="0"/>
          <w:numId w:val="1001"/>
        </w:numPr>
      </w:pPr>
      <w:r>
        <w:t xml:space="preserve">For each variable</w:t>
      </w:r>
      <w:r>
        <w:t xml:space="preserve"> </w:t>
      </w:r>
      <m:oMath>
        <m:r>
          <m:t>j</m:t>
        </m:r>
      </m:oMath>
      <w:r>
        <w:t xml:space="preserve">, replace column</w:t>
      </w:r>
      <w:r>
        <w:t xml:space="preserve"> </w:t>
      </w:r>
      <m:oMath>
        <m:r>
          <m:t>j</m:t>
        </m:r>
      </m:oMath>
      <w:r>
        <w:t xml:space="preserve"> </w:t>
      </w:r>
      <w:r>
        <w:t xml:space="preserve">of</w:t>
      </w:r>
      <w:r>
        <w:t xml:space="preserve"> </w:t>
      </w:r>
      <m:oMath>
        <m:r>
          <m:rPr>
            <m:sty m:val="b"/>
          </m:rPr>
          <m:t>Y</m:t>
        </m:r>
      </m:oMath>
      <w:r>
        <w:t xml:space="preserve"> </w:t>
      </w:r>
      <w:r>
        <w:t xml:space="preserve">with the sorted real values of</w:t>
      </w:r>
      <w:r>
        <w:t xml:space="preserve"> </w:t>
      </w:r>
      <m:oMath>
        <m:sSub>
          <m:e>
            <m:r>
              <m:t>X</m:t>
            </m:r>
          </m:e>
          <m:sub>
            <m:r>
              <m:t>j</m:t>
            </m:r>
          </m:sub>
        </m:sSub>
      </m:oMath>
      <w:r>
        <w:t xml:space="preserve">, laid down in the rank order of</w:t>
      </w:r>
      <w:r>
        <w:t xml:space="preserve"> </w:t>
      </w:r>
      <m:oMath>
        <m:sSub>
          <m:e>
            <m:r>
              <m:t>Y</m:t>
            </m:r>
          </m:e>
          <m:sub>
            <m:r>
              <m:t>j</m:t>
            </m:r>
          </m:sub>
        </m:sSub>
      </m:oMath>
      <w:r>
        <w:t xml:space="preserve">.</w:t>
      </w:r>
    </w:p>
    <w:p>
      <w:pPr>
        <w:pStyle w:val="BlockText"/>
      </w:pPr>
      <w:r>
        <w:rPr>
          <w:i/>
          <w:iCs/>
        </w:rPr>
        <w:t xml:space="preserve">Output:</w:t>
      </w:r>
      <w:r>
        <w:t xml:space="preserve"> </w:t>
      </w:r>
      <m:oMath>
        <m:sSup>
          <m:e>
            <m:r>
              <m:rPr>
                <m:sty m:val="b"/>
              </m:rPr>
              <m:t>X</m:t>
            </m:r>
          </m:e>
          <m:sup>
            <m:r>
              <m:rPr>
                <m:sty m:val="p"/>
              </m:rPr>
              <m:t>*</m:t>
            </m:r>
          </m:sup>
        </m:sSup>
      </m:oMath>
      <w:r>
        <w:t xml:space="preserve">, whose every marginal matches</w:t>
      </w:r>
      <w:r>
        <w:t xml:space="preserve"> </w:t>
      </w:r>
      <m:oMath>
        <m:r>
          <m:rPr>
            <m:sty m:val="b"/>
          </m:rPr>
          <m:t>X</m:t>
        </m:r>
      </m:oMath>
      <w:r>
        <w:t xml:space="preserve"> </w:t>
      </w:r>
      <w:r>
        <w:t xml:space="preserve">exactly, whose</w:t>
      </w:r>
      <w:r>
        <w:t xml:space="preserve"> </w:t>
      </w:r>
      <w:r>
        <w:t xml:space="preserve">covariance matches to within sampling error, whose dependence is Gaussian, and which has no</w:t>
      </w:r>
      <w:r>
        <w:t xml:space="preserve"> </w:t>
      </w:r>
      <w:r>
        <w:t xml:space="preserve">clustering built in.</w:t>
      </w:r>
    </w:p>
    <w:p>
      <w:pPr>
        <w:pStyle w:val="FirstParagraph"/>
      </w:pPr>
      <w:r>
        <w:t xml:space="preserve">Step 3 is the rank reordering of</w:t>
      </w:r>
      <w:r>
        <w:t xml:space="preserve"> </w:t>
      </w:r>
      <w:r>
        <w:t xml:space="preserve">Iman &amp; Conover (1982)</w:t>
      </w:r>
      <w:r>
        <w:t xml:space="preserve">; it matches the normal-scores rank correlation</w:t>
      </w:r>
      <w:r>
        <w:t xml:space="preserve"> </w:t>
      </w:r>
      <w:r>
        <w:t xml:space="preserve">exactly, so the Pearson covariance is reproduced up to sampling error (in the datasets below,</w:t>
      </w:r>
      <w:r>
        <w:t xml:space="preserve"> </w:t>
      </w:r>
      <w:r>
        <w:t xml:space="preserve">the largest correlation the twin misses is about 0.009).</w:t>
      </w:r>
    </w:p>
    <w:bookmarkStart w:id="11" w:name="the-test-stated-formally"/>
    <w:p>
      <w:pPr>
        <w:pStyle w:val="Heading2"/>
      </w:pPr>
      <w:r>
        <w:t xml:space="preserve">The test, stated formally</w:t>
      </w:r>
    </w:p>
    <w:p>
      <w:pPr>
        <w:pStyle w:val="FirstParagraph"/>
      </w:pPr>
      <w:r>
        <w:t xml:space="preserve">For readers who want the construction and the test stated precisely, four displays suffice.</w:t>
      </w:r>
      <w:r>
        <w:t xml:space="preserve"> </w:t>
      </w:r>
      <w:r>
        <w:t xml:space="preserve">By Sklar’s theorem</w:t>
      </w:r>
      <w:r>
        <w:t xml:space="preserve"> </w:t>
      </w:r>
      <w:r>
        <w:t xml:space="preserve">(Sklar, 1959)</w:t>
      </w:r>
      <w:r>
        <w:t xml:space="preserve">, any joint distribution</w:t>
      </w:r>
      <w:r>
        <w:t xml:space="preserve"> </w:t>
      </w:r>
      <m:oMath>
        <m:r>
          <m:t>F</m:t>
        </m:r>
      </m:oMath>
      <w:r>
        <w:t xml:space="preserve"> </w:t>
      </w:r>
      <w:r>
        <w:t xml:space="preserve">with margins</w:t>
      </w:r>
      <w:r>
        <w:t xml:space="preserve"> </w:t>
      </w:r>
      <m:oMath>
        <m:sSub>
          <m:e>
            <m:r>
              <m:t>F</m:t>
            </m:r>
          </m:e>
          <m:sub>
            <m:r>
              <m:t>1</m:t>
            </m:r>
          </m:sub>
        </m:sSub>
        <m:r>
          <m:rPr>
            <m:sty m:val="p"/>
          </m:rPr>
          <m:t>,</m:t>
        </m:r>
        <m:r>
          <m:rPr>
            <m:sty m:val="p"/>
          </m:rPr>
          <m:t>…</m:t>
        </m:r>
        <m:r>
          <m:rPr>
            <m:sty m:val="p"/>
          </m:rPr>
          <m:t>,</m:t>
        </m:r>
        <m:sSub>
          <m:e>
            <m:r>
              <m:t>F</m:t>
            </m:r>
          </m:e>
          <m:sub>
            <m:r>
              <m:t>p</m:t>
            </m:r>
          </m:sub>
        </m:sSub>
      </m:oMath>
      <w:r>
        <w:t xml:space="preserve"> </w:t>
      </w:r>
      <w:r>
        <w:t xml:space="preserve">decomposes into those margins and a copula</w:t>
      </w:r>
      <w:r>
        <w:t xml:space="preserve"> </w:t>
      </w:r>
      <m:oMath>
        <m:r>
          <m:t>C</m:t>
        </m:r>
      </m:oMath>
      <w:r>
        <w:t xml:space="preserve"> </w:t>
      </w:r>
      <w:r>
        <w:t xml:space="preserve">that carries all of the dependence,</w:t>
      </w:r>
    </w:p>
    <w:p>
      <w:pPr>
        <w:pStyle w:val="BodyText"/>
      </w:pPr>
      <m:oMathPara>
        <m:oMathParaPr>
          <m:jc m:val="center"/>
        </m:oMathParaPr>
        <m:oMath>
          <m:r>
            <m:t>F</m:t>
          </m:r>
          <m:r>
            <m:rPr>
              <m:sty m:val="p"/>
            </m:rPr>
            <m:t>(</m:t>
          </m:r>
          <m:sSub>
            <m:e>
              <m:r>
                <m:t>x</m:t>
              </m:r>
            </m:e>
            <m:sub>
              <m:r>
                <m:t>1</m:t>
              </m:r>
            </m:sub>
          </m:sSub>
          <m:r>
            <m:rPr>
              <m:sty m:val="p"/>
            </m:rPr>
            <m:t>,</m:t>
          </m:r>
          <m:r>
            <m:rPr>
              <m:sty m:val="p"/>
            </m:rPr>
            <m:t>…</m:t>
          </m:r>
          <m:r>
            <m:rPr>
              <m:sty m:val="p"/>
            </m:rPr>
            <m:t>,</m:t>
          </m:r>
          <m:sSub>
            <m:e>
              <m:r>
                <m:t>x</m:t>
              </m:r>
            </m:e>
            <m:sub>
              <m:r>
                <m:t>p</m:t>
              </m:r>
            </m:sub>
          </m:sSub>
          <m:r>
            <m:rPr>
              <m:sty m:val="p"/>
            </m:rPr>
            <m:t>)</m:t>
          </m:r>
          <m:r>
            <m:t> </m:t>
          </m:r>
          <m:r>
            <m:rPr>
              <m:sty m:val="p"/>
            </m:rPr>
            <m:t>=</m:t>
          </m:r>
          <m:r>
            <m:t> </m:t>
          </m:r>
          <m:r>
            <m:t>C</m:t>
          </m:r>
          <m:r>
            <m:t>​</m:t>
          </m:r>
          <m:d>
            <m:dPr>
              <m:begChr m:val="("/>
              <m:sepChr m:val=""/>
              <m:endChr m:val=")"/>
              <m:grow/>
            </m:dPr>
            <m:e>
              <m:sSub>
                <m:e>
                  <m:r>
                    <m:t>F</m:t>
                  </m:r>
                </m:e>
                <m:sub>
                  <m:r>
                    <m:t>1</m:t>
                  </m:r>
                </m:sub>
              </m:sSub>
              <m:r>
                <m:rPr>
                  <m:sty m:val="p"/>
                </m:rPr>
                <m:t>(</m:t>
              </m:r>
              <m:sSub>
                <m:e>
                  <m:r>
                    <m:t>x</m:t>
                  </m:r>
                </m:e>
                <m:sub>
                  <m:r>
                    <m:t>1</m:t>
                  </m:r>
                </m:sub>
              </m:sSub>
              <m:r>
                <m:rPr>
                  <m:sty m:val="p"/>
                </m:rPr>
                <m:t>)</m:t>
              </m:r>
              <m:r>
                <m:rPr>
                  <m:sty m:val="p"/>
                </m:rPr>
                <m:t>,</m:t>
              </m:r>
              <m:r>
                <m:rPr>
                  <m:sty m:val="p"/>
                </m:rPr>
                <m:t>…</m:t>
              </m:r>
              <m:r>
                <m:rPr>
                  <m:sty m:val="p"/>
                </m:rPr>
                <m:t>,</m:t>
              </m:r>
              <m:sSub>
                <m:e>
                  <m:r>
                    <m:t>F</m:t>
                  </m:r>
                </m:e>
                <m:sub>
                  <m:r>
                    <m:t>p</m:t>
                  </m:r>
                </m:sub>
              </m:sSub>
              <m:r>
                <m:rPr>
                  <m:sty m:val="p"/>
                </m:rPr>
                <m:t>(</m:t>
              </m:r>
              <m:sSub>
                <m:e>
                  <m:r>
                    <m:t>x</m:t>
                  </m:r>
                </m:e>
                <m:sub>
                  <m:r>
                    <m:t>p</m:t>
                  </m:r>
                </m:sub>
              </m:sSub>
              <m:r>
                <m:rPr>
                  <m:sty m:val="p"/>
                </m:rPr>
                <m:t>)</m:t>
              </m:r>
            </m:e>
          </m:d>
          <m:r>
            <m:rPr>
              <m:sty m:val="p"/>
            </m:rPr>
            <m:t>.</m:t>
          </m:r>
        </m:oMath>
      </m:oMathPara>
    </w:p>
    <w:p>
      <w:pPr>
        <w:pStyle w:val="FirstParagraph"/>
      </w:pPr>
      <w:r>
        <w:t xml:space="preserve">The matched null replaces the data’s copula with the Gaussian copula indexed by the data’s own</w:t>
      </w:r>
      <w:r>
        <w:t xml:space="preserve"> </w:t>
      </w:r>
      <w:r>
        <w:t xml:space="preserve">correlation matrix</w:t>
      </w:r>
      <w:r>
        <w:t xml:space="preserve"> </w:t>
      </w:r>
      <m:oMath>
        <m:acc>
          <m:accPr>
            <m:chr m:val="̂"/>
          </m:accPr>
          <m:e>
            <m:r>
              <m:rPr>
                <m:sty m:val="b"/>
              </m:rPr>
              <m:t>Σ</m:t>
            </m:r>
          </m:e>
        </m:acc>
      </m:oMath>
      <w:r>
        <w:t xml:space="preserve">, while keeping the empirical margins</w:t>
      </w:r>
      <w:r>
        <w:t xml:space="preserve"> </w:t>
      </w:r>
      <m:oMath>
        <m:sSub>
          <m:e>
            <m:acc>
              <m:accPr>
                <m:chr m:val="̂"/>
              </m:accPr>
              <m:e>
                <m:r>
                  <m:t>F</m:t>
                </m:r>
              </m:e>
            </m:acc>
          </m:e>
          <m:sub>
            <m:r>
              <m:t>1</m:t>
            </m:r>
          </m:sub>
        </m:sSub>
        <m:r>
          <m:rPr>
            <m:sty m:val="p"/>
          </m:rPr>
          <m:t>,</m:t>
        </m:r>
        <m:r>
          <m:rPr>
            <m:sty m:val="p"/>
          </m:rPr>
          <m:t>…</m:t>
        </m:r>
        <m:r>
          <m:rPr>
            <m:sty m:val="p"/>
          </m:rPr>
          <m:t>,</m:t>
        </m:r>
        <m:sSub>
          <m:e>
            <m:acc>
              <m:accPr>
                <m:chr m:val="̂"/>
              </m:accPr>
              <m:e>
                <m:r>
                  <m:t>F</m:t>
                </m:r>
              </m:e>
            </m:acc>
          </m:e>
          <m:sub>
            <m:r>
              <m:t>p</m:t>
            </m:r>
          </m:sub>
        </m:sSub>
      </m:oMath>
      <w:r>
        <w:t xml:space="preserve">:</w:t>
      </w:r>
    </w:p>
    <w:p>
      <w:pPr>
        <w:pStyle w:val="BodyText"/>
      </w:pPr>
      <m:oMathPara>
        <m:oMathParaPr>
          <m:jc m:val="center"/>
        </m:oMathParaPr>
        <m:oMath>
          <m:sSub>
            <m:e>
              <m:r>
                <m:t>F</m:t>
              </m:r>
            </m:e>
            <m:sub>
              <m:r>
                <m:t>0</m:t>
              </m:r>
            </m:sub>
          </m:sSub>
          <m:r>
            <m:t> </m:t>
          </m:r>
          <m:r>
            <m:rPr>
              <m:sty m:val="p"/>
            </m:rPr>
            <m:t>=</m:t>
          </m:r>
          <m:r>
            <m:t> </m:t>
          </m:r>
          <m:sSubSup>
            <m:e>
              <m:r>
                <m:t>C</m:t>
              </m:r>
            </m:e>
            <m:sub>
              <m:acc>
                <m:accPr>
                  <m:chr m:val="̂"/>
                </m:accPr>
                <m:e>
                  <m:r>
                    <m:rPr>
                      <m:sty m:val="b"/>
                    </m:rPr>
                    <m:t>Σ</m:t>
                  </m:r>
                </m:e>
              </m:acc>
            </m:sub>
            <m:sup>
              <m:r>
                <m:rPr>
                  <m:sty m:val="p"/>
                </m:rPr>
                <m:t>G</m:t>
              </m:r>
              <m:r>
                <m:rPr>
                  <m:sty m:val="p"/>
                </m:rPr>
                <m:t>a</m:t>
              </m:r>
              <m:r>
                <m:rPr>
                  <m:sty m:val="p"/>
                </m:rPr>
                <m:t>u</m:t>
              </m:r>
              <m:r>
                <m:rPr>
                  <m:sty m:val="p"/>
                </m:rPr>
                <m:t>s</m:t>
              </m:r>
              <m:r>
                <m:rPr>
                  <m:sty m:val="p"/>
                </m:rPr>
                <m:t>s</m:t>
              </m:r>
            </m:sup>
          </m:sSubSup>
          <m:r>
            <m:t>​</m:t>
          </m:r>
          <m:d>
            <m:dPr>
              <m:begChr m:val="("/>
              <m:sepChr m:val=""/>
              <m:endChr m:val=")"/>
              <m:grow/>
            </m:dPr>
            <m:e>
              <m:sSub>
                <m:e>
                  <m:acc>
                    <m:accPr>
                      <m:chr m:val="̂"/>
                    </m:accPr>
                    <m:e>
                      <m:r>
                        <m:t>F</m:t>
                      </m:r>
                    </m:e>
                  </m:acc>
                </m:e>
                <m:sub>
                  <m:r>
                    <m:t>1</m:t>
                  </m:r>
                </m:sub>
              </m:sSub>
              <m:r>
                <m:rPr>
                  <m:sty m:val="p"/>
                </m:rPr>
                <m:t>,</m:t>
              </m:r>
              <m:r>
                <m:rPr>
                  <m:sty m:val="p"/>
                </m:rPr>
                <m:t>…</m:t>
              </m:r>
              <m:r>
                <m:rPr>
                  <m:sty m:val="p"/>
                </m:rPr>
                <m:t>,</m:t>
              </m:r>
              <m:sSub>
                <m:e>
                  <m:acc>
                    <m:accPr>
                      <m:chr m:val="̂"/>
                    </m:accPr>
                    <m:e>
                      <m:r>
                        <m:t>F</m:t>
                      </m:r>
                    </m:e>
                  </m:acc>
                </m:e>
                <m:sub>
                  <m:r>
                    <m:t>p</m:t>
                  </m:r>
                </m:sub>
              </m:sSub>
            </m:e>
          </m:d>
          <m:r>
            <m:rPr>
              <m:sty m:val="p"/>
            </m:rPr>
            <m:t>,</m:t>
          </m:r>
          <m:r>
            <m:t>  </m:t>
          </m:r>
          <m:sSubSup>
            <m:e>
              <m:r>
                <m:t>C</m:t>
              </m:r>
            </m:e>
            <m:sub>
              <m:r>
                <m:rPr>
                  <m:sty m:val="b"/>
                </m:rPr>
                <m:t>Σ</m:t>
              </m:r>
            </m:sub>
            <m:sup>
              <m:r>
                <m:rPr>
                  <m:sty m:val="p"/>
                </m:rPr>
                <m:t>G</m:t>
              </m:r>
              <m:r>
                <m:rPr>
                  <m:sty m:val="p"/>
                </m:rPr>
                <m:t>a</m:t>
              </m:r>
              <m:r>
                <m:rPr>
                  <m:sty m:val="p"/>
                </m:rPr>
                <m:t>u</m:t>
              </m:r>
              <m:r>
                <m:rPr>
                  <m:sty m:val="p"/>
                </m:rPr>
                <m:t>s</m:t>
              </m:r>
              <m:r>
                <m:rPr>
                  <m:sty m:val="p"/>
                </m:rPr>
                <m:t>s</m:t>
              </m:r>
            </m:sup>
          </m:sSubSup>
          <m:r>
            <m:rPr>
              <m:sty m:val="p"/>
            </m:rPr>
            <m:t>(</m:t>
          </m:r>
          <m:r>
            <m:rPr>
              <m:sty m:val="b"/>
            </m:rPr>
            <m:t>u</m:t>
          </m:r>
          <m:r>
            <m:rPr>
              <m:sty m:val="p"/>
            </m:rPr>
            <m:t>)</m:t>
          </m:r>
          <m:r>
            <m:t> </m:t>
          </m:r>
          <m:r>
            <m:rPr>
              <m:sty m:val="p"/>
            </m:rPr>
            <m:t>=</m:t>
          </m:r>
          <m:r>
            <m:t> </m:t>
          </m:r>
          <m:sSub>
            <m:e>
              <m:r>
                <m:rPr>
                  <m:sty m:val="p"/>
                </m:rPr>
                <m:t>Φ</m:t>
              </m:r>
            </m:e>
            <m:sub>
              <m:r>
                <m:rPr>
                  <m:sty m:val="b"/>
                </m:rPr>
                <m:t>Σ</m:t>
              </m:r>
            </m:sub>
          </m:sSub>
          <m:r>
            <m:t>​</m:t>
          </m:r>
          <m:d>
            <m:dPr>
              <m:begChr m:val="("/>
              <m:sepChr m:val=""/>
              <m:endChr m:val=")"/>
              <m:grow/>
            </m:dPr>
            <m:e>
              <m:sSup>
                <m:e>
                  <m:r>
                    <m:rPr>
                      <m:sty m:val="p"/>
                    </m:rPr>
                    <m:t>Φ</m:t>
                  </m:r>
                </m:e>
                <m:sup>
                  <m:r>
                    <m:rPr>
                      <m:sty m:val="p"/>
                    </m:rPr>
                    <m:t>−</m:t>
                  </m:r>
                  <m:r>
                    <m:t>1</m:t>
                  </m:r>
                </m:sup>
              </m:sSup>
              <m:r>
                <m:rPr>
                  <m:sty m:val="p"/>
                </m:rPr>
                <m:t>(</m:t>
              </m:r>
              <m:sSub>
                <m:e>
                  <m:r>
                    <m:t>u</m:t>
                  </m:r>
                </m:e>
                <m:sub>
                  <m:r>
                    <m:t>1</m:t>
                  </m:r>
                </m:sub>
              </m:sSub>
              <m:r>
                <m:rPr>
                  <m:sty m:val="p"/>
                </m:rPr>
                <m:t>)</m:t>
              </m:r>
              <m:r>
                <m:rPr>
                  <m:sty m:val="p"/>
                </m:rPr>
                <m:t>,</m:t>
              </m:r>
              <m:r>
                <m:rPr>
                  <m:sty m:val="p"/>
                </m:rPr>
                <m:t>…</m:t>
              </m:r>
              <m:r>
                <m:rPr>
                  <m:sty m:val="p"/>
                </m:rPr>
                <m:t>,</m:t>
              </m:r>
              <m:sSup>
                <m:e>
                  <m:r>
                    <m:rPr>
                      <m:sty m:val="p"/>
                    </m:rPr>
                    <m:t>Φ</m:t>
                  </m:r>
                </m:e>
                <m:sup>
                  <m:r>
                    <m:rPr>
                      <m:sty m:val="p"/>
                    </m:rPr>
                    <m:t>−</m:t>
                  </m:r>
                  <m:r>
                    <m:t>1</m:t>
                  </m:r>
                </m:sup>
              </m:sSup>
              <m:r>
                <m:rPr>
                  <m:sty m:val="p"/>
                </m:rPr>
                <m:t>(</m:t>
              </m:r>
              <m:sSub>
                <m:e>
                  <m:r>
                    <m:t>u</m:t>
                  </m:r>
                </m:e>
                <m:sub>
                  <m:r>
                    <m:t>p</m:t>
                  </m:r>
                </m:sub>
              </m:sSub>
              <m:r>
                <m:rPr>
                  <m:sty m:val="p"/>
                </m:rPr>
                <m:t>)</m:t>
              </m:r>
            </m:e>
          </m:d>
          <m:r>
            <m:rPr>
              <m:sty m:val="p"/>
            </m:rPr>
            <m:t>,</m:t>
          </m:r>
        </m:oMath>
      </m:oMathPara>
    </w:p>
    <w:p>
      <w:pPr>
        <w:pStyle w:val="FirstParagraph"/>
      </w:pPr>
      <w:r>
        <w:t xml:space="preserve">where</w:t>
      </w:r>
      <w:r>
        <w:t xml:space="preserve"> </w:t>
      </w:r>
      <m:oMath>
        <m:sSub>
          <m:e>
            <m:r>
              <m:rPr>
                <m:sty m:val="p"/>
              </m:rPr>
              <m:t>Φ</m:t>
            </m:r>
          </m:e>
          <m:sub>
            <m:r>
              <m:rPr>
                <m:sty m:val="b"/>
              </m:rPr>
              <m:t>Σ</m:t>
            </m:r>
          </m:sub>
        </m:sSub>
      </m:oMath>
      <w:r>
        <w:t xml:space="preserve"> </w:t>
      </w:r>
      <w:r>
        <w:t xml:space="preserve">is the multivariate normal distribution with correlation</w:t>
      </w:r>
      <w:r>
        <w:t xml:space="preserve"> </w:t>
      </w:r>
      <w:r>
        <w:t xml:space="preserve">matrix</w:t>
      </w:r>
      <w:r>
        <w:t xml:space="preserve"> </w:t>
      </w:r>
      <m:oMath>
        <m:r>
          <m:rPr>
            <m:sty m:val="b"/>
          </m:rPr>
          <m:t>Σ</m:t>
        </m:r>
      </m:oMath>
      <w:r>
        <w:t xml:space="preserve"> </w:t>
      </w:r>
      <w:r>
        <w:t xml:space="preserve">and</w:t>
      </w:r>
      <w:r>
        <w:t xml:space="preserve"> </w:t>
      </w:r>
      <m:oMath>
        <m:sSup>
          <m:e>
            <m:r>
              <m:rPr>
                <m:sty m:val="p"/>
              </m:rPr>
              <m:t>Φ</m:t>
            </m:r>
          </m:e>
          <m:sup>
            <m:r>
              <m:rPr>
                <m:sty m:val="p"/>
              </m:rPr>
              <m:t>−</m:t>
            </m:r>
            <m:r>
              <m:t>1</m:t>
            </m:r>
          </m:sup>
        </m:sSup>
      </m:oMath>
      <w:r>
        <w:t xml:space="preserve"> </w:t>
      </w:r>
      <w:r>
        <w:t xml:space="preserve">the standard-normal quantile function. Because a</w:t>
      </w:r>
      <w:r>
        <w:t xml:space="preserve"> </w:t>
      </w:r>
      <w:r>
        <w:t xml:space="preserve">Gaussian copula is fully indexed by its correlation matrix,</w:t>
      </w:r>
      <w:r>
        <w:t xml:space="preserve"> </w:t>
      </w:r>
      <m:oMath>
        <m:sSub>
          <m:e>
            <m:r>
              <m:t>F</m:t>
            </m:r>
          </m:e>
          <m:sub>
            <m:r>
              <m:t>0</m:t>
            </m:r>
          </m:sub>
        </m:sSub>
      </m:oMath>
      <w:r>
        <w:t xml:space="preserve"> </w:t>
      </w:r>
      <w:r>
        <w:t xml:space="preserve">is the unique member of this</w:t>
      </w:r>
      <w:r>
        <w:t xml:space="preserve"> </w:t>
      </w:r>
      <w:r>
        <w:t xml:space="preserve">family that agrees with the data on both margins and correlations and carries no dependence</w:t>
      </w:r>
      <w:r>
        <w:t xml:space="preserve"> </w:t>
      </w:r>
      <w:r>
        <w:t xml:space="preserve">beyond them; Algorithm 1 samples from</w:t>
      </w:r>
      <w:r>
        <w:t xml:space="preserve"> </w:t>
      </w:r>
      <m:oMath>
        <m:sSub>
          <m:e>
            <m:r>
              <m:t>F</m:t>
            </m:r>
          </m:e>
          <m:sub>
            <m:r>
              <m:t>0</m:t>
            </m:r>
          </m:sub>
        </m:sSub>
      </m:oMath>
      <w:r>
        <w:t xml:space="preserve">. The null hypothesis is that the data are</w:t>
      </w:r>
      <w:r>
        <w:t xml:space="preserve"> </w:t>
      </w:r>
      <w:r>
        <w:t xml:space="preserve">distributed as</w:t>
      </w:r>
      <w:r>
        <w:t xml:space="preserve"> </w:t>
      </w:r>
      <m:oMath>
        <m:sSub>
          <m:e>
            <m:r>
              <m:t>F</m:t>
            </m:r>
          </m:e>
          <m:sub>
            <m:r>
              <m:t>0</m:t>
            </m:r>
          </m:sub>
        </m:sSub>
      </m:oMath>
      <w:r>
        <w:t xml:space="preserve">, that is, that nothing beyond the margins and correlations, where any</w:t>
      </w:r>
      <w:r>
        <w:t xml:space="preserve"> </w:t>
      </w:r>
      <w:r>
        <w:t xml:space="preserve">latent groups would have to live, shapes the joint distribution.</w:t>
      </w:r>
    </w:p>
    <w:p>
      <w:pPr>
        <w:pStyle w:val="BodyText"/>
      </w:pPr>
      <w:r>
        <w:t xml:space="preserve">The test statistic is the count functional of the user’s pipeline. In the worked example it is</w:t>
      </w:r>
      <w:r>
        <w:t xml:space="preserve"> </w:t>
      </w:r>
      <w:r>
        <w:t xml:space="preserve">the median selected count over a set</w:t>
      </w:r>
      <w:r>
        <w:t xml:space="preserve"> </w:t>
      </w:r>
      <m:oMath>
        <m:r>
          <m:rPr>
            <m:scr m:val="script"/>
            <m:sty m:val="p"/>
          </m:rPr>
          <m:t>M</m:t>
        </m:r>
      </m:oMath>
      <w:r>
        <w:t xml:space="preserve"> </w:t>
      </w:r>
      <w:r>
        <w:t xml:space="preserve">of mixture parameterizations,</w:t>
      </w:r>
    </w:p>
    <w:p>
      <w:pPr>
        <w:pStyle w:val="BodyText"/>
      </w:pPr>
      <m:oMathPara>
        <m:oMathParaPr>
          <m:jc m:val="center"/>
        </m:oMathParaPr>
        <m:oMath>
          <m:r>
            <m:t>T</m:t>
          </m:r>
          <m:r>
            <m:rPr>
              <m:sty m:val="p"/>
            </m:rPr>
            <m:t>(</m:t>
          </m:r>
          <m:r>
            <m:rPr>
              <m:sty m:val="b"/>
            </m:rPr>
            <m:t>X</m:t>
          </m:r>
          <m:r>
            <m:rPr>
              <m:sty m:val="p"/>
            </m:rPr>
            <m:t>)</m:t>
          </m:r>
          <m:r>
            <m:t> </m:t>
          </m:r>
          <m:r>
            <m:rPr>
              <m:sty m:val="p"/>
            </m:rPr>
            <m:t>=</m:t>
          </m:r>
          <m:r>
            <m:t> </m:t>
          </m:r>
          <m:sSub>
            <m:e>
              <m:r>
                <m:rPr>
                  <m:sty m:val="p"/>
                </m:rPr>
                <m:t>median</m:t>
              </m:r>
            </m:e>
            <m:sub>
              <m:r>
                <m:t>m</m:t>
              </m:r>
              <m:r>
                <m:rPr>
                  <m:sty m:val="p"/>
                </m:rPr>
                <m:t>∈</m:t>
              </m:r>
              <m:r>
                <m:rPr>
                  <m:scr m:val="script"/>
                  <m:sty m:val="p"/>
                </m:rPr>
                <m:t>M</m:t>
              </m:r>
            </m:sub>
          </m:sSub>
          <m:r>
            <m:t> </m:t>
          </m:r>
          <m:sSub>
            <m:e>
              <m:acc>
                <m:accPr>
                  <m:chr m:val="̂"/>
                </m:accPr>
                <m:e>
                  <m:r>
                    <m:t>k</m:t>
                  </m:r>
                </m:e>
              </m:acc>
            </m:e>
            <m:sub>
              <m:r>
                <m:t>m</m:t>
              </m:r>
            </m:sub>
          </m:sSub>
          <m:r>
            <m:rPr>
              <m:sty m:val="p"/>
            </m:rPr>
            <m:t>(</m:t>
          </m:r>
          <m:r>
            <m:rPr>
              <m:sty m:val="b"/>
            </m:rPr>
            <m:t>X</m:t>
          </m:r>
          <m:r>
            <m:rPr>
              <m:sty m:val="p"/>
            </m:rPr>
            <m:t>)</m:t>
          </m:r>
          <m:r>
            <m:rPr>
              <m:sty m:val="p"/>
            </m:rPr>
            <m:t>,</m:t>
          </m:r>
          <m:r>
            <m:t>  </m:t>
          </m:r>
          <m:sSub>
            <m:e>
              <m:acc>
                <m:accPr>
                  <m:chr m:val="̂"/>
                </m:accPr>
                <m:e>
                  <m:r>
                    <m:t>k</m:t>
                  </m:r>
                </m:e>
              </m:acc>
            </m:e>
            <m:sub>
              <m:r>
                <m:t>m</m:t>
              </m:r>
            </m:sub>
          </m:sSub>
          <m:r>
            <m:rPr>
              <m:sty m:val="p"/>
            </m:rPr>
            <m:t>(</m:t>
          </m:r>
          <m:r>
            <m:rPr>
              <m:sty m:val="b"/>
            </m:rPr>
            <m:t>X</m:t>
          </m:r>
          <m:r>
            <m:rPr>
              <m:sty m:val="p"/>
            </m:rPr>
            <m:t>)</m:t>
          </m:r>
          <m:r>
            <m:t> </m:t>
          </m:r>
          <m:r>
            <m:rPr>
              <m:sty m:val="p"/>
            </m:rPr>
            <m:t>=</m:t>
          </m:r>
          <m:r>
            <m:t> </m:t>
          </m:r>
          <m:r>
            <m:rPr>
              <m:sty m:val="p"/>
            </m:rPr>
            <m:t>arg</m:t>
          </m:r>
          <m:limLow>
            <m:e>
              <m:r>
                <m:rPr>
                  <m:sty m:val="p"/>
                </m:rPr>
                <m:t>max</m:t>
              </m:r>
            </m:e>
            <m:lim>
              <m:r>
                <m:t>k</m:t>
              </m:r>
              <m:r>
                <m:rPr>
                  <m:sty m:val="p"/>
                </m:rPr>
                <m:t>∈</m:t>
              </m:r>
              <m:r>
                <m:rPr>
                  <m:sty m:val="p"/>
                </m:rPr>
                <m:t>{</m:t>
              </m:r>
              <m:r>
                <m:t>1</m:t>
              </m:r>
              <m:r>
                <m:rPr>
                  <m:sty m:val="p"/>
                </m:rPr>
                <m:t>,</m:t>
              </m:r>
              <m:r>
                <m:rPr>
                  <m:sty m:val="p"/>
                </m:rPr>
                <m:t>…</m:t>
              </m:r>
              <m:r>
                <m:rPr>
                  <m:sty m:val="p"/>
                </m:rPr>
                <m:t>,</m:t>
              </m:r>
              <m:r>
                <m:t>K</m:t>
              </m:r>
              <m:r>
                <m:rPr>
                  <m:sty m:val="p"/>
                </m:rPr>
                <m:t>}</m:t>
              </m:r>
            </m:lim>
          </m:limLow>
          <m:sSub>
            <m:e>
              <m:r>
                <m:rPr>
                  <m:sty m:val="p"/>
                </m:rPr>
                <m:t>B</m:t>
              </m:r>
              <m:r>
                <m:rPr>
                  <m:sty m:val="p"/>
                </m:rPr>
                <m:t>I</m:t>
              </m:r>
              <m:r>
                <m:rPr>
                  <m:sty m:val="p"/>
                </m:rPr>
                <m:t>C</m:t>
              </m:r>
            </m:e>
            <m:sub>
              <m:r>
                <m:t>m</m:t>
              </m:r>
            </m:sub>
          </m:sSub>
          <m:r>
            <m:rPr>
              <m:sty m:val="p"/>
            </m:rPr>
            <m:t>(</m:t>
          </m:r>
          <m:r>
            <m:t>k</m:t>
          </m:r>
          <m:r>
            <m:rPr>
              <m:sty m:val="p"/>
            </m:rPr>
            <m:t>;</m:t>
          </m:r>
          <m:r>
            <m:rPr>
              <m:sty m:val="b"/>
            </m:rPr>
            <m:t>X</m:t>
          </m:r>
          <m:r>
            <m:rPr>
              <m:sty m:val="p"/>
            </m:rPr>
            <m:t>)</m:t>
          </m:r>
          <m:r>
            <m:rPr>
              <m:sty m:val="p"/>
            </m:rPr>
            <m:t>,</m:t>
          </m:r>
        </m:oMath>
      </m:oMathPara>
    </w:p>
    <w:p>
      <w:pPr>
        <w:pStyle w:val="FirstParagraph"/>
      </w:pPr>
      <w:r>
        <w:t xml:space="preserve">but any scalar functional of a clustering, from any pipeline, may stand in for</w:t>
      </w:r>
      <w:r>
        <w:t xml:space="preserve"> </w:t>
      </w:r>
      <m:oMath>
        <m:r>
          <m:t>T</m:t>
        </m:r>
      </m:oMath>
      <w:r>
        <w:t xml:space="preserve">. With</w:t>
      </w:r>
      <w:r>
        <w:t xml:space="preserve"> </w:t>
      </w:r>
      <m:oMath>
        <m:sSubSup>
          <m:e>
            <m:r>
              <m:rPr>
                <m:sty m:val="b"/>
              </m:rPr>
              <m:t>X</m:t>
            </m:r>
          </m:e>
          <m:sub>
            <m:r>
              <m:t>1</m:t>
            </m:r>
          </m:sub>
          <m:sup>
            <m:r>
              <m:rPr>
                <m:sty m:val="p"/>
              </m:rPr>
              <m:t>*</m:t>
            </m:r>
          </m:sup>
        </m:sSubSup>
        <m:r>
          <m:rPr>
            <m:sty m:val="p"/>
          </m:rPr>
          <m:t>,</m:t>
        </m:r>
        <m:r>
          <m:rPr>
            <m:sty m:val="p"/>
          </m:rPr>
          <m:t>…</m:t>
        </m:r>
        <m:r>
          <m:rPr>
            <m:sty m:val="p"/>
          </m:rPr>
          <m:t>,</m:t>
        </m:r>
        <m:sSubSup>
          <m:e>
            <m:r>
              <m:rPr>
                <m:sty m:val="b"/>
              </m:rPr>
              <m:t>X</m:t>
            </m:r>
          </m:e>
          <m:sub>
            <m:r>
              <m:t>R</m:t>
            </m:r>
          </m:sub>
          <m:sup>
            <m:r>
              <m:rPr>
                <m:sty m:val="p"/>
              </m:rPr>
              <m:t>*</m:t>
            </m:r>
          </m:sup>
        </m:sSubSup>
      </m:oMath>
      <w:r>
        <w:t xml:space="preserve"> </w:t>
      </w:r>
      <w:r>
        <w:t xml:space="preserve">independent draws from</w:t>
      </w:r>
      <w:r>
        <w:t xml:space="preserve"> </w:t>
      </w:r>
      <m:oMath>
        <m:sSub>
          <m:e>
            <m:r>
              <m:t>F</m:t>
            </m:r>
          </m:e>
          <m:sub>
            <m:r>
              <m:t>0</m:t>
            </m:r>
          </m:sub>
        </m:sSub>
      </m:oMath>
      <w:r>
        <w:t xml:space="preserve"> </w:t>
      </w:r>
      <w:r>
        <w:t xml:space="preserve">at the matched</w:t>
      </w:r>
      <w:r>
        <w:t xml:space="preserve"> </w:t>
      </w:r>
      <w:r>
        <w:t xml:space="preserve">sample size, the one-sided Monte Carlo p-value for exceedance is</w:t>
      </w:r>
    </w:p>
    <w:p>
      <w:pPr>
        <w:pStyle w:val="BodyText"/>
      </w:pPr>
      <m:oMathPara>
        <m:oMathParaPr>
          <m:jc m:val="center"/>
        </m:oMathParaPr>
        <m:oMath>
          <m:r>
            <m:t>p</m:t>
          </m:r>
          <m:r>
            <m:t> </m:t>
          </m:r>
          <m:r>
            <m:rPr>
              <m:sty m:val="p"/>
            </m:rPr>
            <m:t>=</m:t>
          </m:r>
          <m:r>
            <m:t> </m:t>
          </m:r>
          <m:f>
            <m:fPr>
              <m:type m:val="bar"/>
            </m:fPr>
            <m:num>
              <m:r>
                <m:t>1</m:t>
              </m:r>
              <m:r>
                <m:rPr>
                  <m:sty m:val="p"/>
                </m:rPr>
                <m:t>+</m:t>
              </m:r>
              <m:nary>
                <m:naryPr>
                  <m:chr m:val="∑"/>
                  <m:limLoc m:val="undOvr"/>
                  <m:subHide m:val="off"/>
                  <m:supHide m:val="off"/>
                </m:naryPr>
                <m:sub>
                  <m:r>
                    <m:t>r</m:t>
                  </m:r>
                  <m:r>
                    <m:rPr>
                      <m:sty m:val="p"/>
                    </m:rPr>
                    <m:t>=</m:t>
                  </m:r>
                  <m:r>
                    <m:t>1</m:t>
                  </m:r>
                </m:sub>
                <m:sup>
                  <m:r>
                    <m:t>R</m:t>
                  </m:r>
                </m:sup>
                <m:e>
                  <m:r>
                    <m:rPr>
                      <m:scr m:val="double-struck"/>
                      <m:sty m:val="p"/>
                    </m:rPr>
                    <m:t>1</m:t>
                  </m:r>
                </m:e>
              </m:nary>
              <m:r>
                <m:t>​</m:t>
              </m:r>
              <m:d>
                <m:dPr>
                  <m:begChr m:val="{"/>
                  <m:sepChr m:val=""/>
                  <m:endChr m:val="}"/>
                  <m:grow/>
                </m:dPr>
                <m:e>
                  <m:r>
                    <m:t>T</m:t>
                  </m:r>
                  <m:r>
                    <m:rPr>
                      <m:sty m:val="p"/>
                    </m:rPr>
                    <m:t>(</m:t>
                  </m:r>
                  <m:sSubSup>
                    <m:e>
                      <m:r>
                        <m:rPr>
                          <m:sty m:val="b"/>
                        </m:rPr>
                        <m:t>X</m:t>
                      </m:r>
                    </m:e>
                    <m:sub>
                      <m:r>
                        <m:t>r</m:t>
                      </m:r>
                    </m:sub>
                    <m:sup>
                      <m:r>
                        <m:rPr>
                          <m:sty m:val="p"/>
                        </m:rPr>
                        <m:t>*</m:t>
                      </m:r>
                    </m:sup>
                  </m:sSubSup>
                  <m:r>
                    <m:rPr>
                      <m:sty m:val="p"/>
                    </m:rPr>
                    <m:t>)</m:t>
                  </m:r>
                  <m:r>
                    <m:rPr>
                      <m:sty m:val="p"/>
                    </m:rPr>
                    <m:t>≥</m:t>
                  </m:r>
                  <m:r>
                    <m:t>T</m:t>
                  </m:r>
                  <m:r>
                    <m:rPr>
                      <m:sty m:val="p"/>
                    </m:rPr>
                    <m:t>(</m:t>
                  </m:r>
                  <m:r>
                    <m:rPr>
                      <m:sty m:val="b"/>
                    </m:rPr>
                    <m:t>X</m:t>
                  </m:r>
                  <m:r>
                    <m:rPr>
                      <m:sty m:val="p"/>
                    </m:rPr>
                    <m:t>)</m:t>
                  </m:r>
                </m:e>
              </m:d>
            </m:num>
            <m:den>
              <m:r>
                <m:t>R</m:t>
              </m:r>
              <m:r>
                <m:rPr>
                  <m:sty m:val="p"/>
                </m:rPr>
                <m:t>+</m:t>
              </m:r>
              <m:r>
                <m:t>1</m:t>
              </m:r>
            </m:den>
          </m:f>
          <m:r>
            <m:rPr>
              <m:sty m:val="p"/>
            </m:rPr>
            <m:t>,</m:t>
          </m:r>
        </m:oMath>
      </m:oMathPara>
    </w:p>
    <w:p>
      <w:pPr>
        <w:pStyle w:val="FirstParagraph"/>
      </w:pPr>
      <w:r>
        <w:t xml:space="preserve">and the interval verdict reads</w:t>
      </w:r>
      <w:r>
        <w:t xml:space="preserve"> </w:t>
      </w:r>
      <m:oMath>
        <m:r>
          <m:t>T</m:t>
        </m:r>
        <m:r>
          <m:rPr>
            <m:sty m:val="p"/>
          </m:rPr>
          <m:t>(</m:t>
        </m:r>
        <m:r>
          <m:rPr>
            <m:sty m:val="b"/>
          </m:rPr>
          <m:t>X</m:t>
        </m:r>
        <m:r>
          <m:rPr>
            <m:sty m:val="p"/>
          </m:rPr>
          <m:t>)</m:t>
        </m:r>
      </m:oMath>
      <w:r>
        <w:t xml:space="preserve"> </w:t>
      </w:r>
      <w:r>
        <w:t xml:space="preserve">against the</w:t>
      </w:r>
      <w:r>
        <w:t xml:space="preserve"> </w:t>
      </w:r>
      <m:oMath>
        <m:r>
          <m:rPr>
            <m:sty m:val="p"/>
          </m:rPr>
          <m:t>[</m:t>
        </m:r>
        <m:r>
          <m:t>.025</m:t>
        </m:r>
        <m:r>
          <m:rPr>
            <m:sty m:val="p"/>
          </m:rPr>
          <m:t>,</m:t>
        </m:r>
        <m:r>
          <m:t> </m:t>
        </m:r>
        <m:r>
          <m:t>.975</m:t>
        </m:r>
        <m:r>
          <m:rPr>
            <m:sty m:val="p"/>
          </m:rPr>
          <m:t>]</m:t>
        </m:r>
      </m:oMath>
      <w:r>
        <w:t xml:space="preserve"> </w:t>
      </w:r>
      <w:r>
        <w:t xml:space="preserve">quantiles of the</w:t>
      </w:r>
      <w:r>
        <w:t xml:space="preserve"> </w:t>
      </w:r>
      <w:r>
        <w:t xml:space="preserve">null draws; throughout,</w:t>
      </w:r>
      <w:r>
        <w:t xml:space="preserve"> </w:t>
      </w:r>
      <w:r>
        <w:t xml:space="preserve">“exceeds the null”</w:t>
      </w:r>
      <w:r>
        <w:t xml:space="preserve"> </w:t>
      </w:r>
      <w:r>
        <w:t xml:space="preserve">means</w:t>
      </w:r>
      <w:r>
        <w:t xml:space="preserve"> </w:t>
      </w:r>
      <m:oMath>
        <m:r>
          <m:t>T</m:t>
        </m:r>
        <m:r>
          <m:rPr>
            <m:sty m:val="p"/>
          </m:rPr>
          <m:t>(</m:t>
        </m:r>
        <m:r>
          <m:rPr>
            <m:sty m:val="b"/>
          </m:rPr>
          <m:t>X</m:t>
        </m:r>
        <m:r>
          <m:rPr>
            <m:sty m:val="p"/>
          </m:rPr>
          <m:t>)</m:t>
        </m:r>
      </m:oMath>
      <w:r>
        <w:t xml:space="preserve"> </w:t>
      </w:r>
      <w:r>
        <w:t xml:space="preserve">above the .975 quantile, the</w:t>
      </w:r>
      <w:r>
        <w:t xml:space="preserve"> </w:t>
      </w:r>
      <w:r>
        <w:t xml:space="preserve">upper end of that interval. The construction is exact in the margins, and the correlations are reproduced up</w:t>
      </w:r>
      <w:r>
        <w:t xml:space="preserve"> </w:t>
      </w:r>
      <w:r>
        <w:t xml:space="preserve">to the sampling error of the rank map; both conventions, the added-one Monte Carlo p and the</w:t>
      </w:r>
      <w:r>
        <w:t xml:space="preserve"> </w:t>
      </w:r>
      <w:r>
        <w:t xml:space="preserve">quantile interval, follow standard surrogate-data practice</w:t>
      </w:r>
      <w:r>
        <w:t xml:space="preserve"> </w:t>
      </w:r>
      <w:r>
        <w:t xml:space="preserve">(Theiler et al., 1992)</w:t>
      </w:r>
      <w:r>
        <w:t xml:space="preserve">.</w:t>
      </w:r>
    </w:p>
    <w:bookmarkEnd w:id="11"/>
    <w:bookmarkStart w:id="12" w:name="why-this-null-and-not-a-richer-one"/>
    <w:p>
      <w:pPr>
        <w:pStyle w:val="Heading2"/>
      </w:pPr>
      <w:r>
        <w:t xml:space="preserve">Why this null and not a richer one</w:t>
      </w:r>
    </w:p>
    <w:p>
      <w:pPr>
        <w:pStyle w:val="FirstParagraph"/>
      </w:pPr>
      <w:r>
        <w:t xml:space="preserve">One design choice deserves stating up front, because it governs everything the test can and</w:t>
      </w:r>
      <w:r>
        <w:t xml:space="preserve"> </w:t>
      </w:r>
      <w:r>
        <w:t xml:space="preserve">cannot do. The Gaussian copula is the minimal null for the role, not the most faithful one, and</w:t>
      </w:r>
      <w:r>
        <w:t xml:space="preserve"> </w:t>
      </w:r>
      <w:r>
        <w:t xml:space="preserve">minimality is what the test needs. Its dependence is exhausted by the correlation matrix, so</w:t>
      </w:r>
      <w:r>
        <w:t xml:space="preserve"> </w:t>
      </w:r>
      <w:r>
        <w:t xml:space="preserve">every higher-order dependency in the real data must come from the data rather than the null. A</w:t>
      </w:r>
      <w:r>
        <w:t xml:space="preserve"> </w:t>
      </w:r>
      <w:r>
        <w:t xml:space="preserve">richer copula would defeat the purpose: a t copula adds tail dependence, and a vine copula can</w:t>
      </w:r>
      <w:r>
        <w:t xml:space="preserve"> </w:t>
      </w:r>
      <w:r>
        <w:t xml:space="preserve">fit almost any dependence structure at all, so using either as the null would absorb into it</w:t>
      </w:r>
      <w:r>
        <w:t xml:space="preserve"> </w:t>
      </w:r>
      <w:r>
        <w:t xml:space="preserve">the very structure the test is meant to detect. The choice also has an information-theoretic</w:t>
      </w:r>
      <w:r>
        <w:t xml:space="preserve"> </w:t>
      </w:r>
      <w:r>
        <w:t xml:space="preserve">characterization: among all distributions with a given covariance, the multivariate normal has</w:t>
      </w:r>
      <w:r>
        <w:t xml:space="preserve"> </w:t>
      </w:r>
      <w:r>
        <w:t xml:space="preserve">maximum entropy</w:t>
      </w:r>
      <w:r>
        <w:t xml:space="preserve"> </w:t>
      </w:r>
      <w:r>
        <w:t xml:space="preserve">(Cover &amp; Thomas, 2006)</w:t>
      </w:r>
      <w:r>
        <w:t xml:space="preserve">, so on the normal-scores scale the twin carries the least</w:t>
      </w:r>
      <w:r>
        <w:t xml:space="preserve"> </w:t>
      </w:r>
      <w:r>
        <w:t xml:space="preserve">structured dependence consistent with the data’s margins and correlations, and anything the</w:t>
      </w:r>
      <w:r>
        <w:t xml:space="preserve"> </w:t>
      </w:r>
      <w:r>
        <w:t xml:space="preserve">real data show beyond it is structure the data themselves supply. The flip side, taken up in the final section,</w:t>
      </w:r>
      <w:r>
        <w:t xml:space="preserve"> </w:t>
      </w:r>
      <w:r>
        <w:t xml:space="preserve">is that the test reads any dependence beyond the linear as a departure, whether or not it is</w:t>
      </w:r>
      <w:r>
        <w:t xml:space="preserve"> </w:t>
      </w:r>
      <w:r>
        <w:t xml:space="preserve">categorical; deciding whether a departure is categorical is the job of the follow-up checks,</w:t>
      </w:r>
      <w:r>
        <w:t xml:space="preserve"> </w:t>
      </w:r>
      <w:r>
        <w:t xml:space="preserve">not of the count.</w:t>
      </w:r>
    </w:p>
    <w:bookmarkEnd w:id="12"/>
    <w:bookmarkEnd w:id="13"/>
    <w:bookmarkStart w:id="20" w:name="using-matchednull"/>
    <w:p>
      <w:pPr>
        <w:pStyle w:val="Heading1"/>
      </w:pPr>
      <w:r>
        <w:t xml:space="preserve">Using matchednull</w:t>
      </w:r>
    </w:p>
    <w:bookmarkStart w:id="14" w:name="installation"/>
    <w:p>
      <w:pPr>
        <w:pStyle w:val="Heading2"/>
      </w:pPr>
      <w:r>
        <w:t xml:space="preserve">Installation</w:t>
      </w:r>
    </w:p>
    <w:p>
      <w:pPr>
        <w:pStyle w:val="SourceCode"/>
      </w:pPr>
      <w:r>
        <w:rPr>
          <w:rStyle w:val="CommentTok"/>
        </w:rPr>
        <w:t xml:space="preserve"># install.packages("remotes")</w:t>
      </w:r>
      <w:r>
        <w:br/>
      </w:r>
      <w:r>
        <w:rPr>
          <w:rStyle w:val="NormalTok"/>
        </w:rPr>
        <w:t xml:space="preserve">remotes</w:t>
      </w:r>
      <w:r>
        <w:rPr>
          <w:rStyle w:val="SpecialCharTok"/>
        </w:rPr>
        <w:t xml:space="preserve">::</w:t>
      </w:r>
      <w:r>
        <w:rPr>
          <w:rStyle w:val="FunctionTok"/>
        </w:rPr>
        <w:t xml:space="preserve">install_github</w:t>
      </w:r>
      <w:r>
        <w:rPr>
          <w:rStyle w:val="NormalTok"/>
        </w:rPr>
        <w:t xml:space="preserve">(</w:t>
      </w:r>
      <w:r>
        <w:rPr>
          <w:rStyle w:val="StringTok"/>
        </w:rPr>
        <w:t xml:space="preserve">"haomeng797-ship-it/matchednull"</w:t>
      </w:r>
      <w:r>
        <w:rPr>
          <w:rStyle w:val="NormalTok"/>
        </w:rPr>
        <w:t xml:space="preserve">)</w:t>
      </w:r>
      <w:r>
        <w:br/>
      </w:r>
      <w:r>
        <w:rPr>
          <w:rStyle w:val="FunctionTok"/>
        </w:rPr>
        <w:t xml:space="preserve">library</w:t>
      </w:r>
      <w:r>
        <w:rPr>
          <w:rStyle w:val="NormalTok"/>
        </w:rPr>
        <w:t xml:space="preserve">(matchednull)</w:t>
      </w:r>
    </w:p>
    <w:bookmarkEnd w:id="14"/>
    <w:bookmarkStart w:id="15" w:name="the-twin-in-one-line"/>
    <w:p>
      <w:pPr>
        <w:pStyle w:val="Heading2"/>
      </w:pPr>
      <w:r>
        <w:t xml:space="preserve">The twin, in one line</w:t>
      </w:r>
    </w:p>
    <w:p>
      <w:pPr>
        <w:pStyle w:val="FirstParagraph"/>
      </w:pPr>
      <w:r>
        <w:rPr>
          <w:rStyle w:val="VerbatimChar"/>
        </w:rPr>
        <w:t xml:space="preserve">copula_null()</w:t>
      </w:r>
      <w:r>
        <w:t xml:space="preserve"> </w:t>
      </w:r>
      <w:r>
        <w:t xml:space="preserve">builds the synthetic twin of Algorithm 1:</w:t>
      </w:r>
    </w:p>
    <w:p>
      <w:pPr>
        <w:pStyle w:val="SourceCode"/>
      </w:pPr>
      <w:r>
        <w:rPr>
          <w:rStyle w:val="FunctionTok"/>
        </w:rPr>
        <w:t xml:space="preserve">set.seed</w:t>
      </w:r>
      <w:r>
        <w:rPr>
          <w:rStyle w:val="NormalTok"/>
        </w:rPr>
        <w:t xml:space="preserve">(</w:t>
      </w:r>
      <w:r>
        <w:rPr>
          <w:rStyle w:val="DecValTok"/>
        </w:rPr>
        <w:t xml:space="preserve">1</w:t>
      </w:r>
      <w:r>
        <w:rPr>
          <w:rStyle w:val="NormalTok"/>
        </w:rPr>
        <w:t xml:space="preserve">)</w:t>
      </w:r>
      <w:r>
        <w:br/>
      </w:r>
      <w:r>
        <w:rPr>
          <w:rStyle w:val="NormalTok"/>
        </w:rPr>
        <w:t xml:space="preserve">x </w:t>
      </w:r>
      <w:r>
        <w:rPr>
          <w:rStyle w:val="OtherTok"/>
        </w:rPr>
        <w:t xml:space="preserve">&lt;-</w:t>
      </w:r>
      <w:r>
        <w:rPr>
          <w:rStyle w:val="NormalTok"/>
        </w:rPr>
        <w:t xml:space="preserve"> </w:t>
      </w:r>
      <w:r>
        <w:rPr>
          <w:rStyle w:val="FunctionTok"/>
        </w:rPr>
        <w:t xml:space="preserve">matrix</w:t>
      </w:r>
      <w:r>
        <w:rPr>
          <w:rStyle w:val="NormalTok"/>
        </w:rPr>
        <w:t xml:space="preserve">(</w:t>
      </w:r>
      <w:r>
        <w:rPr>
          <w:rStyle w:val="FunctionTok"/>
        </w:rPr>
        <w:t xml:space="preserve">rnorm</w:t>
      </w:r>
      <w:r>
        <w:rPr>
          <w:rStyle w:val="NormalTok"/>
        </w:rPr>
        <w:t xml:space="preserve">(</w:t>
      </w:r>
      <w:r>
        <w:rPr>
          <w:rStyle w:val="DecValTok"/>
        </w:rPr>
        <w:t xml:space="preserve">400</w:t>
      </w:r>
      <w:r>
        <w:rPr>
          <w:rStyle w:val="NormalTok"/>
        </w:rPr>
        <w:t xml:space="preserve"> </w:t>
      </w:r>
      <w:r>
        <w:rPr>
          <w:rStyle w:val="SpecialCharTok"/>
        </w:rPr>
        <w:t xml:space="preserve">*</w:t>
      </w:r>
      <w:r>
        <w:rPr>
          <w:rStyle w:val="NormalTok"/>
        </w:rPr>
        <w:t xml:space="preserve"> </w:t>
      </w:r>
      <w:r>
        <w:rPr>
          <w:rStyle w:val="DecValTok"/>
        </w:rPr>
        <w:t xml:space="preserve">3</w:t>
      </w:r>
      <w:r>
        <w:rPr>
          <w:rStyle w:val="NormalTok"/>
        </w:rPr>
        <w:t xml:space="preserve">), </w:t>
      </w:r>
      <w:r>
        <w:rPr>
          <w:rStyle w:val="DecValTok"/>
        </w:rPr>
        <w:t xml:space="preserve">400</w:t>
      </w:r>
      <w:r>
        <w:rPr>
          <w:rStyle w:val="NormalTok"/>
        </w:rPr>
        <w:t xml:space="preserve">, </w:t>
      </w:r>
      <w:r>
        <w:rPr>
          <w:rStyle w:val="DecValTok"/>
        </w:rPr>
        <w:t xml:space="preserve">3</w:t>
      </w:r>
      <w:r>
        <w:rPr>
          <w:rStyle w:val="NormalTok"/>
        </w:rPr>
        <w:t xml:space="preserve">) </w:t>
      </w:r>
      <w:r>
        <w:rPr>
          <w:rStyle w:val="SpecialCharTok"/>
        </w:rPr>
        <w:t xml:space="preserve">%*%</w:t>
      </w:r>
      <w:r>
        <w:br/>
      </w:r>
      <w:r>
        <w:rPr>
          <w:rStyle w:val="NormalTok"/>
        </w:rPr>
        <w:t xml:space="preserve">  </w:t>
      </w:r>
      <w:r>
        <w:rPr>
          <w:rStyle w:val="FunctionTok"/>
        </w:rPr>
        <w:t xml:space="preserve">chol</w:t>
      </w:r>
      <w:r>
        <w:rPr>
          <w:rStyle w:val="NormalTok"/>
        </w:rPr>
        <w:t xml:space="preserve">(</w:t>
      </w:r>
      <w:r>
        <w:rPr>
          <w:rStyle w:val="FunctionTok"/>
        </w:rPr>
        <w:t xml:space="preserve">matrix</w:t>
      </w:r>
      <w:r>
        <w:rPr>
          <w:rStyle w:val="NormalTok"/>
        </w:rPr>
        <w:t xml:space="preserve">(</w:t>
      </w:r>
      <w:r>
        <w:rPr>
          <w:rStyle w:val="FunctionTok"/>
        </w:rPr>
        <w:t xml:space="preserve">c</w:t>
      </w:r>
      <w:r>
        <w:rPr>
          <w:rStyle w:val="NormalTok"/>
        </w:rPr>
        <w:t xml:space="preserve">(</w:t>
      </w:r>
      <w:r>
        <w:rPr>
          <w:rStyle w:val="DecValTok"/>
        </w:rPr>
        <w:t xml:space="preserve">1</w:t>
      </w:r>
      <w:r>
        <w:rPr>
          <w:rStyle w:val="NormalTok"/>
        </w:rPr>
        <w:t xml:space="preserve">, .</w:t>
      </w:r>
      <w:r>
        <w:rPr>
          <w:rStyle w:val="DecValTok"/>
        </w:rPr>
        <w:t xml:space="preserve">5</w:t>
      </w:r>
      <w:r>
        <w:rPr>
          <w:rStyle w:val="NormalTok"/>
        </w:rPr>
        <w:t xml:space="preserve">, .</w:t>
      </w:r>
      <w:r>
        <w:rPr>
          <w:rStyle w:val="DecValTok"/>
        </w:rPr>
        <w:t xml:space="preserve">3</w:t>
      </w:r>
      <w:r>
        <w:rPr>
          <w:rStyle w:val="NormalTok"/>
        </w:rPr>
        <w:t xml:space="preserve">, .</w:t>
      </w:r>
      <w:r>
        <w:rPr>
          <w:rStyle w:val="DecValTok"/>
        </w:rPr>
        <w:t xml:space="preserve">5</w:t>
      </w:r>
      <w:r>
        <w:rPr>
          <w:rStyle w:val="NormalTok"/>
        </w:rPr>
        <w:t xml:space="preserve">, </w:t>
      </w:r>
      <w:r>
        <w:rPr>
          <w:rStyle w:val="DecValTok"/>
        </w:rPr>
        <w:t xml:space="preserve">1</w:t>
      </w:r>
      <w:r>
        <w:rPr>
          <w:rStyle w:val="NormalTok"/>
        </w:rPr>
        <w:t xml:space="preserve">, .</w:t>
      </w:r>
      <w:r>
        <w:rPr>
          <w:rStyle w:val="DecValTok"/>
        </w:rPr>
        <w:t xml:space="preserve">4</w:t>
      </w:r>
      <w:r>
        <w:rPr>
          <w:rStyle w:val="NormalTok"/>
        </w:rPr>
        <w:t xml:space="preserve">, .</w:t>
      </w:r>
      <w:r>
        <w:rPr>
          <w:rStyle w:val="DecValTok"/>
        </w:rPr>
        <w:t xml:space="preserve">3</w:t>
      </w:r>
      <w:r>
        <w:rPr>
          <w:rStyle w:val="NormalTok"/>
        </w:rPr>
        <w:t xml:space="preserve">, .</w:t>
      </w:r>
      <w:r>
        <w:rPr>
          <w:rStyle w:val="DecValTok"/>
        </w:rPr>
        <w:t xml:space="preserve">4</w:t>
      </w:r>
      <w:r>
        <w:rPr>
          <w:rStyle w:val="NormalTok"/>
        </w:rPr>
        <w:t xml:space="preserve">, </w:t>
      </w:r>
      <w:r>
        <w:rPr>
          <w:rStyle w:val="DecValTok"/>
        </w:rPr>
        <w:t xml:space="preserve">1</w:t>
      </w:r>
      <w:r>
        <w:rPr>
          <w:rStyle w:val="NormalTok"/>
        </w:rPr>
        <w:t xml:space="preserve">), </w:t>
      </w:r>
      <w:r>
        <w:rPr>
          <w:rStyle w:val="DecValTok"/>
        </w:rPr>
        <w:t xml:space="preserve">3</w:t>
      </w:r>
      <w:r>
        <w:rPr>
          <w:rStyle w:val="NormalTok"/>
        </w:rPr>
        <w:t xml:space="preserve">, </w:t>
      </w:r>
      <w:r>
        <w:rPr>
          <w:rStyle w:val="DecValTok"/>
        </w:rPr>
        <w:t xml:space="preserve">3</w:t>
      </w:r>
      <w:r>
        <w:rPr>
          <w:rStyle w:val="NormalTok"/>
        </w:rPr>
        <w:t xml:space="preserve">))</w:t>
      </w:r>
      <w:r>
        <w:br/>
      </w:r>
      <w:r>
        <w:rPr>
          <w:rStyle w:val="NormalTok"/>
        </w:rPr>
        <w:t xml:space="preserve">twin </w:t>
      </w:r>
      <w:r>
        <w:rPr>
          <w:rStyle w:val="OtherTok"/>
        </w:rPr>
        <w:t xml:space="preserve">&lt;-</w:t>
      </w:r>
      <w:r>
        <w:rPr>
          <w:rStyle w:val="NormalTok"/>
        </w:rPr>
        <w:t xml:space="preserve"> </w:t>
      </w:r>
      <w:r>
        <w:rPr>
          <w:rStyle w:val="FunctionTok"/>
        </w:rPr>
        <w:t xml:space="preserve">copula_null</w:t>
      </w:r>
      <w:r>
        <w:rPr>
          <w:rStyle w:val="NormalTok"/>
        </w:rPr>
        <w:t xml:space="preserve">(x)</w:t>
      </w:r>
      <w:r>
        <w:br/>
      </w:r>
      <w:r>
        <w:br/>
      </w:r>
      <w:r>
        <w:rPr>
          <w:rStyle w:val="FunctionTok"/>
        </w:rPr>
        <w:t xml:space="preserve">all</w:t>
      </w:r>
      <w:r>
        <w:rPr>
          <w:rStyle w:val="NormalTok"/>
        </w:rPr>
        <w:t xml:space="preserve">(</w:t>
      </w:r>
      <w:r>
        <w:rPr>
          <w:rStyle w:val="FunctionTok"/>
        </w:rPr>
        <w:t xml:space="preserve">sort</w:t>
      </w:r>
      <w:r>
        <w:rPr>
          <w:rStyle w:val="NormalTok"/>
        </w:rPr>
        <w:t xml:space="preserve">(twin[, </w:t>
      </w:r>
      <w:r>
        <w:rPr>
          <w:rStyle w:val="DecValTok"/>
        </w:rPr>
        <w:t xml:space="preserve">1</w:t>
      </w:r>
      <w:r>
        <w:rPr>
          <w:rStyle w:val="NormalTok"/>
        </w:rPr>
        <w:t xml:space="preserve">]) </w:t>
      </w:r>
      <w:r>
        <w:rPr>
          <w:rStyle w:val="SpecialCharTok"/>
        </w:rPr>
        <w:t xml:space="preserve">==</w:t>
      </w:r>
      <w:r>
        <w:rPr>
          <w:rStyle w:val="NormalTok"/>
        </w:rPr>
        <w:t xml:space="preserve"> </w:t>
      </w:r>
      <w:r>
        <w:rPr>
          <w:rStyle w:val="FunctionTok"/>
        </w:rPr>
        <w:t xml:space="preserve">sort</w:t>
      </w:r>
      <w:r>
        <w:rPr>
          <w:rStyle w:val="NormalTok"/>
        </w:rPr>
        <w:t xml:space="preserve">(x[, </w:t>
      </w:r>
      <w:r>
        <w:rPr>
          <w:rStyle w:val="DecValTok"/>
        </w:rPr>
        <w:t xml:space="preserve">1</w:t>
      </w:r>
      <w:r>
        <w:rPr>
          <w:rStyle w:val="NormalTok"/>
        </w:rPr>
        <w:t xml:space="preserve">]))   </w:t>
      </w:r>
      <w:r>
        <w:rPr>
          <w:rStyle w:val="CommentTok"/>
        </w:rPr>
        <w:t xml:space="preserve"># margins: identical, value for value</w:t>
      </w:r>
      <w:r>
        <w:br/>
      </w:r>
      <w:r>
        <w:rPr>
          <w:rStyle w:val="FunctionTok"/>
        </w:rPr>
        <w:t xml:space="preserve">round</w:t>
      </w:r>
      <w:r>
        <w:rPr>
          <w:rStyle w:val="NormalTok"/>
        </w:rPr>
        <w:t xml:space="preserve">(</w:t>
      </w:r>
      <w:r>
        <w:rPr>
          <w:rStyle w:val="FunctionTok"/>
        </w:rPr>
        <w:t xml:space="preserve">cor</w:t>
      </w:r>
      <w:r>
        <w:rPr>
          <w:rStyle w:val="NormalTok"/>
        </w:rPr>
        <w:t xml:space="preserve">(x) </w:t>
      </w:r>
      <w:r>
        <w:rPr>
          <w:rStyle w:val="SpecialCharTok"/>
        </w:rPr>
        <w:t xml:space="preserve">-</w:t>
      </w:r>
      <w:r>
        <w:rPr>
          <w:rStyle w:val="NormalTok"/>
        </w:rPr>
        <w:t xml:space="preserve"> </w:t>
      </w:r>
      <w:r>
        <w:rPr>
          <w:rStyle w:val="FunctionTok"/>
        </w:rPr>
        <w:t xml:space="preserve">cor</w:t>
      </w:r>
      <w:r>
        <w:rPr>
          <w:rStyle w:val="NormalTok"/>
        </w:rPr>
        <w:t xml:space="preserve">(twin), </w:t>
      </w:r>
      <w:r>
        <w:rPr>
          <w:rStyle w:val="DecValTok"/>
        </w:rPr>
        <w:t xml:space="preserve">2</w:t>
      </w:r>
      <w:r>
        <w:rPr>
          <w:rStyle w:val="NormalTok"/>
        </w:rPr>
        <w:t xml:space="preserve">)           </w:t>
      </w:r>
      <w:r>
        <w:rPr>
          <w:rStyle w:val="CommentTok"/>
        </w:rPr>
        <w:t xml:space="preserve"># correlations: equal to sampling error</w:t>
      </w:r>
    </w:p>
    <w:p>
      <w:pPr>
        <w:pStyle w:val="FirstParagraph"/>
      </w:pPr>
      <w:r>
        <w:t xml:space="preserve">The twin reuses the real values, reshuffled, so every histogram is exactly the real one; the</w:t>
      </w:r>
      <w:r>
        <w:t xml:space="preserve"> </w:t>
      </w:r>
      <w:r>
        <w:t xml:space="preserve">correlations are reproduced; and everything above them is plain Gaussian dependence.</w:t>
      </w:r>
    </w:p>
    <w:bookmarkEnd w:id="15"/>
    <w:bookmarkStart w:id="16" w:name="the-test-your-pipeline-against-its-twins"/>
    <w:p>
      <w:pPr>
        <w:pStyle w:val="Heading2"/>
      </w:pPr>
      <w:r>
        <w:t xml:space="preserve">The test: your pipeline against its twins</w:t>
      </w:r>
    </w:p>
    <w:p>
      <w:pPr>
        <w:pStyle w:val="FirstParagraph"/>
      </w:pPr>
      <w:r>
        <w:rPr>
          <w:rStyle w:val="VerbatimChar"/>
        </w:rPr>
        <w:t xml:space="preserve">matched_null_test()</w:t>
      </w:r>
      <w:r>
        <w:t xml:space="preserve"> </w:t>
      </w:r>
      <w:r>
        <w:t xml:space="preserve">takes the data and the user’s own pipeline, wrapped as a function that</w:t>
      </w:r>
      <w:r>
        <w:t xml:space="preserve"> </w:t>
      </w:r>
      <w:r>
        <w:t xml:space="preserve">returns one number, typically the selected number of clusters. It runs the identical pipeline</w:t>
      </w:r>
      <w:r>
        <w:t xml:space="preserve"> </w:t>
      </w:r>
      <w:r>
        <w:t xml:space="preserve">on the real data and on</w:t>
      </w:r>
      <w:r>
        <w:t xml:space="preserve"> </w:t>
      </w:r>
      <w:r>
        <w:rPr>
          <w:rStyle w:val="VerbatimChar"/>
        </w:rPr>
        <w:t xml:space="preserve">R</w:t>
      </w:r>
      <w:r>
        <w:t xml:space="preserve"> </w:t>
      </w:r>
      <w:r>
        <w:t xml:space="preserve">twins, and asks whether the real answer stands out:</w:t>
      </w:r>
    </w:p>
    <w:p>
      <w:pPr>
        <w:pStyle w:val="SourceCode"/>
      </w:pPr>
      <w:r>
        <w:rPr>
          <w:rStyle w:val="FunctionTok"/>
        </w:rPr>
        <w:t xml:space="preserve">library</w:t>
      </w:r>
      <w:r>
        <w:rPr>
          <w:rStyle w:val="NormalTok"/>
        </w:rPr>
        <w:t xml:space="preserve">(mclust)</w:t>
      </w:r>
      <w:r>
        <w:br/>
      </w:r>
      <w:r>
        <w:rPr>
          <w:rStyle w:val="CommentTok"/>
        </w:rPr>
        <w:t xml:space="preserve"># your pipeline: the number of components BIC selects</w:t>
      </w:r>
      <w:r>
        <w:br/>
      </w:r>
      <w:r>
        <w:rPr>
          <w:rStyle w:val="NormalTok"/>
        </w:rPr>
        <w:t xml:space="preserve">pick_k </w:t>
      </w:r>
      <w:r>
        <w:rPr>
          <w:rStyle w:val="OtherTok"/>
        </w:rPr>
        <w:t xml:space="preserve">&lt;-</w:t>
      </w:r>
      <w:r>
        <w:rPr>
          <w:rStyle w:val="NormalTok"/>
        </w:rPr>
        <w:t xml:space="preserve"> </w:t>
      </w:r>
      <w:r>
        <w:rPr>
          <w:rStyle w:val="ControlFlowTok"/>
        </w:rPr>
        <w:t xml:space="preserve">function</w:t>
      </w:r>
      <w:r>
        <w:rPr>
          <w:rStyle w:val="NormalTok"/>
        </w:rPr>
        <w:t xml:space="preserve">(d) </w:t>
      </w:r>
      <w:r>
        <w:rPr>
          <w:rStyle w:val="FunctionTok"/>
        </w:rPr>
        <w:t xml:space="preserve">Mclust</w:t>
      </w:r>
      <w:r>
        <w:rPr>
          <w:rStyle w:val="NormalTok"/>
        </w:rPr>
        <w:t xml:space="preserve">(d, </w:t>
      </w:r>
      <w:r>
        <w:rPr>
          <w:rStyle w:val="AttributeTok"/>
        </w:rPr>
        <w:t xml:space="preserve">G =</w:t>
      </w:r>
      <w:r>
        <w:rPr>
          <w:rStyle w:val="NormalTok"/>
        </w:rPr>
        <w:t xml:space="preserve"> </w:t>
      </w:r>
      <w:r>
        <w:rPr>
          <w:rStyle w:val="DecValTok"/>
        </w:rPr>
        <w:t xml:space="preserve">1</w:t>
      </w:r>
      <w:r>
        <w:rPr>
          <w:rStyle w:val="SpecialCharTok"/>
        </w:rPr>
        <w:t xml:space="preserve">:</w:t>
      </w:r>
      <w:r>
        <w:rPr>
          <w:rStyle w:val="DecValTok"/>
        </w:rPr>
        <w:t xml:space="preserve">10</w:t>
      </w:r>
      <w:r>
        <w:rPr>
          <w:rStyle w:val="NormalTok"/>
        </w:rPr>
        <w:t xml:space="preserve">, </w:t>
      </w:r>
      <w:r>
        <w:rPr>
          <w:rStyle w:val="AttributeTok"/>
        </w:rPr>
        <w:t xml:space="preserve">verbose =</w:t>
      </w:r>
      <w:r>
        <w:rPr>
          <w:rStyle w:val="NormalTok"/>
        </w:rPr>
        <w:t xml:space="preserve"> </w:t>
      </w:r>
      <w:r>
        <w:rPr>
          <w:rStyle w:val="ConstantTok"/>
        </w:rPr>
        <w:t xml:space="preserve">FALSE</w:t>
      </w:r>
      <w:r>
        <w:rPr>
          <w:rStyle w:val="NormalTok"/>
        </w:rPr>
        <w:t xml:space="preserve">)</w:t>
      </w:r>
      <w:r>
        <w:rPr>
          <w:rStyle w:val="SpecialCharTok"/>
        </w:rPr>
        <w:t xml:space="preserve">$</w:t>
      </w:r>
      <w:r>
        <w:rPr>
          <w:rStyle w:val="NormalTok"/>
        </w:rPr>
        <w:t xml:space="preserve">G</w:t>
      </w:r>
      <w:r>
        <w:br/>
      </w:r>
      <w:r>
        <w:br/>
      </w:r>
      <w:r>
        <w:rPr>
          <w:rStyle w:val="FunctionTok"/>
        </w:rPr>
        <w:t xml:space="preserve">set.seed</w:t>
      </w:r>
      <w:r>
        <w:rPr>
          <w:rStyle w:val="NormalTok"/>
        </w:rPr>
        <w:t xml:space="preserve">(</w:t>
      </w:r>
      <w:r>
        <w:rPr>
          <w:rStyle w:val="DecValTok"/>
        </w:rPr>
        <w:t xml:space="preserve">20260620</w:t>
      </w:r>
      <w:r>
        <w:rPr>
          <w:rStyle w:val="NormalTok"/>
        </w:rPr>
        <w:t xml:space="preserve">)</w:t>
      </w:r>
      <w:r>
        <w:br/>
      </w:r>
      <w:r>
        <w:rPr>
          <w:rStyle w:val="FunctionTok"/>
        </w:rPr>
        <w:t xml:space="preserve">matched_null_test</w:t>
      </w:r>
      <w:r>
        <w:rPr>
          <w:rStyle w:val="NormalTok"/>
        </w:rPr>
        <w:t xml:space="preserve">(x, pick_k, </w:t>
      </w:r>
      <w:r>
        <w:rPr>
          <w:rStyle w:val="AttributeTok"/>
        </w:rPr>
        <w:t xml:space="preserve">R =</w:t>
      </w:r>
      <w:r>
        <w:rPr>
          <w:rStyle w:val="NormalTok"/>
        </w:rPr>
        <w:t xml:space="preserve"> </w:t>
      </w:r>
      <w:r>
        <w:rPr>
          <w:rStyle w:val="DecValTok"/>
        </w:rPr>
        <w:t xml:space="preserve">200</w:t>
      </w:r>
      <w:r>
        <w:rPr>
          <w:rStyle w:val="NormalTok"/>
        </w:rPr>
        <w:t xml:space="preserve">)</w:t>
      </w:r>
      <w:r>
        <w:br/>
      </w:r>
      <w:r>
        <w:rPr>
          <w:rStyle w:val="CommentTok"/>
        </w:rPr>
        <w:t xml:space="preserve">#&gt; Matched-null test (200 null twins)</w:t>
      </w:r>
      <w:r>
        <w:br/>
      </w:r>
      <w:r>
        <w:rPr>
          <w:rStyle w:val="CommentTok"/>
        </w:rPr>
        <w:t xml:space="preserve">#&gt;   real statistic:      1</w:t>
      </w:r>
      <w:r>
        <w:br/>
      </w:r>
      <w:r>
        <w:rPr>
          <w:rStyle w:val="CommentTok"/>
        </w:rPr>
        <w:t xml:space="preserve">#&gt;   null interval:       [1, 1]</w:t>
      </w:r>
      <w:r>
        <w:br/>
      </w:r>
      <w:r>
        <w:rPr>
          <w:rStyle w:val="CommentTok"/>
        </w:rPr>
        <w:t xml:space="preserve">#&gt;   p (real &gt;= nulls):   1</w:t>
      </w:r>
      <w:r>
        <w:br/>
      </w:r>
      <w:r>
        <w:rPr>
          <w:rStyle w:val="CommentTok"/>
        </w:rPr>
        <w:t xml:space="preserve">#&gt;   verdict:             null-like (within the twins' interval)</w:t>
      </w:r>
    </w:p>
    <w:p>
      <w:pPr>
        <w:pStyle w:val="FirstParagraph"/>
      </w:pPr>
      <w:r>
        <w:t xml:space="preserve">The output reports the real count, the null’s 95 percent interval, a one-sided Monte Carlo</w:t>
      </w:r>
      <w:r>
        <w:t xml:space="preserve"> </w:t>
      </w:r>
      <w:r>
        <w:t xml:space="preserve">p-value for exceedance, and the verdict. Here the verdict is</w:t>
      </w:r>
      <w:r>
        <w:t xml:space="preserve"> </w:t>
      </w:r>
      <w:r>
        <w:t xml:space="preserve">“null-like”</w:t>
      </w:r>
      <w:r>
        <w:t xml:space="preserve">: the pipeline finds</w:t>
      </w:r>
      <w:r>
        <w:t xml:space="preserve"> </w:t>
      </w:r>
      <w:r>
        <w:t xml:space="preserve">no more clusters in the real data than in its twins, because the data, though correlated, are</w:t>
      </w:r>
      <w:r>
        <w:t xml:space="preserve"> </w:t>
      </w:r>
      <w:r>
        <w:t xml:space="preserve">a single population, and everything the pipeline could see was carried by the margins and</w:t>
      </w:r>
      <w:r>
        <w:t xml:space="preserve"> </w:t>
      </w:r>
      <w:r>
        <w:t xml:space="preserve">correlations. (A p of 1 is not an error: it says the real statistic sits at or below every</w:t>
      </w:r>
      <w:r>
        <w:t xml:space="preserve"> </w:t>
      </w:r>
      <w:r>
        <w:t xml:space="preserve">null draw, the strongest null-like reading the test can return.)</w:t>
      </w:r>
    </w:p>
    <w:p>
      <w:pPr>
        <w:pStyle w:val="BodyText"/>
      </w:pPr>
      <w:r>
        <w:t xml:space="preserve">For adapting the call beyond the example, the full signature is</w:t>
      </w:r>
      <w:r>
        <w:t xml:space="preserve"> </w:t>
      </w:r>
      <w:r>
        <w:rPr>
          <w:rStyle w:val="VerbatimChar"/>
        </w:rPr>
        <w:t xml:space="preserve">matched_null_test(x, cluster_fn, R = 200, probs = c(.025, .975), ridge = 1e-6)</w:t>
      </w:r>
      <w:r>
        <w:t xml:space="preserve">.</w:t>
      </w:r>
      <w:r>
        <w:t xml:space="preserve"> </w:t>
      </w:r>
      <w:r>
        <w:rPr>
          <w:rStyle w:val="VerbatimChar"/>
        </w:rPr>
        <w:t xml:space="preserve">x</w:t>
      </w:r>
      <w:r>
        <w:t xml:space="preserve"> </w:t>
      </w:r>
      <w:r>
        <w:t xml:space="preserve">is a</w:t>
      </w:r>
      <w:r>
        <w:t xml:space="preserve"> </w:t>
      </w:r>
      <w:r>
        <w:t xml:space="preserve">numeric matrix or data frame with complete cases: remove or impute missing values first, since</w:t>
      </w:r>
      <w:r>
        <w:t xml:space="preserve"> </w:t>
      </w:r>
      <w:r>
        <w:t xml:space="preserve">the twin is built from the observed values and the correlation matrix, and neither is defined</w:t>
      </w:r>
      <w:r>
        <w:t xml:space="preserve"> </w:t>
      </w:r>
      <w:r>
        <w:t xml:space="preserve">under NA.</w:t>
      </w:r>
      <w:r>
        <w:t xml:space="preserve"> </w:t>
      </w:r>
      <w:r>
        <w:rPr>
          <w:rStyle w:val="VerbatimChar"/>
        </w:rPr>
        <w:t xml:space="preserve">cluster_fn</w:t>
      </w:r>
      <w:r>
        <w:t xml:space="preserve"> </w:t>
      </w:r>
      <w:r>
        <w:t xml:space="preserve">is the pipeline function, the second argument above; it may return any</w:t>
      </w:r>
      <w:r>
        <w:t xml:space="preserve"> </w:t>
      </w:r>
      <w:r>
        <w:t xml:space="preserve">scalar summary of clustering strength, not only a selected count.</w:t>
      </w:r>
      <w:r>
        <w:t xml:space="preserve"> </w:t>
      </w:r>
      <w:r>
        <w:rPr>
          <w:rStyle w:val="VerbatimChar"/>
        </w:rPr>
        <w:t xml:space="preserve">R</w:t>
      </w:r>
      <w:r>
        <w:t xml:space="preserve"> </w:t>
      </w:r>
      <w:r>
        <w:t xml:space="preserve">is the number of twins;</w:t>
      </w:r>
      <w:r>
        <w:t xml:space="preserve"> </w:t>
      </w:r>
      <w:r>
        <w:rPr>
          <w:rStyle w:val="VerbatimChar"/>
        </w:rPr>
        <w:t xml:space="preserve">probs</w:t>
      </w:r>
      <w:r>
        <w:t xml:space="preserve"> </w:t>
      </w:r>
      <w:r>
        <w:t xml:space="preserve">sets the quantiles of the interval verdict, so a stricter or looser read than 95</w:t>
      </w:r>
      <w:r>
        <w:t xml:space="preserve"> </w:t>
      </w:r>
      <w:r>
        <w:t xml:space="preserve">percent is one argument away;</w:t>
      </w:r>
      <w:r>
        <w:t xml:space="preserve"> </w:t>
      </w:r>
      <w:r>
        <w:rPr>
          <w:rStyle w:val="VerbatimChar"/>
        </w:rPr>
        <w:t xml:space="preserve">ridge</w:t>
      </w:r>
      <w:r>
        <w:t xml:space="preserve"> </w:t>
      </w:r>
      <w:r>
        <w:t xml:space="preserve">is a small diagonal added when the correlation matrix is</w:t>
      </w:r>
      <w:r>
        <w:t xml:space="preserve"> </w:t>
      </w:r>
      <w:r>
        <w:t xml:space="preserve">not positive definite. The returned object is a list of class</w:t>
      </w:r>
      <w:r>
        <w:t xml:space="preserve"> </w:t>
      </w:r>
      <w:r>
        <w:rPr>
          <w:rStyle w:val="VerbatimChar"/>
        </w:rPr>
        <w:t xml:space="preserve">"matched_null_test"</w:t>
      </w:r>
      <w:r>
        <w:t xml:space="preserve"> </w:t>
      </w:r>
      <w:r>
        <w:t xml:space="preserve">whose</w:t>
      </w:r>
      <w:r>
        <w:t xml:space="preserve"> </w:t>
      </w:r>
      <w:r>
        <w:t xml:space="preserve">components are directly usable in code, not only in the printed summary:</w:t>
      </w:r>
      <w:r>
        <w:t xml:space="preserve"> </w:t>
      </w:r>
      <w:r>
        <w:rPr>
          <w:rStyle w:val="VerbatimChar"/>
        </w:rPr>
        <w:t xml:space="preserve">$real</w:t>
      </w:r>
      <w:r>
        <w:t xml:space="preserve"> </w:t>
      </w:r>
      <w:r>
        <w:t xml:space="preserve">(the statistic</w:t>
      </w:r>
      <w:r>
        <w:t xml:space="preserve"> </w:t>
      </w:r>
      <w:r>
        <w:t xml:space="preserve">on the real data),</w:t>
      </w:r>
      <w:r>
        <w:t xml:space="preserve"> </w:t>
      </w:r>
      <w:r>
        <w:rPr>
          <w:rStyle w:val="VerbatimChar"/>
        </w:rPr>
        <w:t xml:space="preserve">$null</w:t>
      </w:r>
      <w:r>
        <w:t xml:space="preserve"> </w:t>
      </w:r>
      <w:r>
        <w:t xml:space="preserve">(all</w:t>
      </w:r>
      <w:r>
        <w:t xml:space="preserve"> </w:t>
      </w:r>
      <w:r>
        <w:rPr>
          <w:rStyle w:val="VerbatimChar"/>
        </w:rPr>
        <w:t xml:space="preserve">R</w:t>
      </w:r>
      <w:r>
        <w:t xml:space="preserve"> </w:t>
      </w:r>
      <w:r>
        <w:t xml:space="preserve">null draws),</w:t>
      </w:r>
      <w:r>
        <w:t xml:space="preserve"> </w:t>
      </w:r>
      <w:r>
        <w:rPr>
          <w:rStyle w:val="VerbatimChar"/>
        </w:rPr>
        <w:t xml:space="preserve">$interval</w:t>
      </w:r>
      <w:r>
        <w:t xml:space="preserve">,</w:t>
      </w:r>
      <w:r>
        <w:t xml:space="preserve"> </w:t>
      </w:r>
      <w:r>
        <w:rPr>
          <w:rStyle w:val="VerbatimChar"/>
        </w:rPr>
        <w:t xml:space="preserve">$p_exceed</w:t>
      </w:r>
      <w:r>
        <w:t xml:space="preserve">, and</w:t>
      </w:r>
      <w:r>
        <w:t xml:space="preserve"> </w:t>
      </w:r>
      <w:r>
        <w:rPr>
          <w:rStyle w:val="VerbatimChar"/>
        </w:rPr>
        <w:t xml:space="preserve">$within</w:t>
      </w:r>
      <w:r>
        <w:t xml:space="preserve">. The</w:t>
      </w:r>
      <w:r>
        <w:t xml:space="preserve"> </w:t>
      </w:r>
      <w:r>
        <w:t xml:space="preserve">pipeline is run exactly as supplied: an error raised inside</w:t>
      </w:r>
      <w:r>
        <w:t xml:space="preserve"> </w:t>
      </w:r>
      <w:r>
        <w:rPr>
          <w:rStyle w:val="VerbatimChar"/>
        </w:rPr>
        <w:t xml:space="preserve">cluster_fn</w:t>
      </w:r>
      <w:r>
        <w:t xml:space="preserve"> </w:t>
      </w:r>
      <w:r>
        <w:t xml:space="preserve">on some twin</w:t>
      </w:r>
      <w:r>
        <w:t xml:space="preserve"> </w:t>
      </w:r>
      <w:r>
        <w:t xml:space="preserve">propagates rather than being skipped, so a fragile pipeline should catch its own exceptions.</w:t>
      </w:r>
    </w:p>
    <w:bookmarkEnd w:id="16"/>
    <w:bookmarkStart w:id="17" w:name="a-detection-for-contrast"/>
    <w:p>
      <w:pPr>
        <w:pStyle w:val="Heading2"/>
      </w:pPr>
      <w:r>
        <w:t xml:space="preserve">A detection, for contrast</w:t>
      </w:r>
    </w:p>
    <w:p>
      <w:pPr>
        <w:pStyle w:val="FirstParagraph"/>
      </w:pPr>
      <w:r>
        <w:t xml:space="preserve">To see the test fire, hide two genuine groups where the null cannot reach them. The two</w:t>
      </w:r>
      <w:r>
        <w:t xml:space="preserve"> </w:t>
      </w:r>
      <w:r>
        <w:t xml:space="preserve">components below share identical standard-normal margins on every variable; they differ only</w:t>
      </w:r>
      <w:r>
        <w:t xml:space="preserve"> </w:t>
      </w:r>
      <w:r>
        <w:t xml:space="preserve">in the orientation of their correlations. No histogram, mean, or variance carries any trace of</w:t>
      </w:r>
      <w:r>
        <w:t xml:space="preserve"> </w:t>
      </w:r>
      <w:r>
        <w:t xml:space="preserve">the grouping; it lives entirely in the dependence.</w:t>
      </w:r>
    </w:p>
    <w:p>
      <w:pPr>
        <w:pStyle w:val="SourceCode"/>
      </w:pPr>
      <w:r>
        <w:rPr>
          <w:rStyle w:val="FunctionTok"/>
        </w:rPr>
        <w:t xml:space="preserve">set.seed</w:t>
      </w:r>
      <w:r>
        <w:rPr>
          <w:rStyle w:val="NormalTok"/>
        </w:rPr>
        <w:t xml:space="preserve">(</w:t>
      </w:r>
      <w:r>
        <w:rPr>
          <w:rStyle w:val="DecValTok"/>
        </w:rPr>
        <w:t xml:space="preserve">42</w:t>
      </w:r>
      <w:r>
        <w:rPr>
          <w:rStyle w:val="NormalTok"/>
        </w:rPr>
        <w:t xml:space="preserve">)</w:t>
      </w:r>
      <w:r>
        <w:br/>
      </w:r>
      <w:r>
        <w:rPr>
          <w:rStyle w:val="NormalTok"/>
        </w:rPr>
        <w:t xml:space="preserve">z </w:t>
      </w:r>
      <w:r>
        <w:rPr>
          <w:rStyle w:val="OtherTok"/>
        </w:rPr>
        <w:t xml:space="preserve">&lt;-</w:t>
      </w:r>
      <w:r>
        <w:rPr>
          <w:rStyle w:val="NormalTok"/>
        </w:rPr>
        <w:t xml:space="preserve"> </w:t>
      </w:r>
      <w:r>
        <w:rPr>
          <w:rStyle w:val="FunctionTok"/>
        </w:rPr>
        <w:t xml:space="preserve">sample</w:t>
      </w:r>
      <w:r>
        <w:rPr>
          <w:rStyle w:val="NormalTok"/>
        </w:rPr>
        <w:t xml:space="preserve">(</w:t>
      </w:r>
      <w:r>
        <w:rPr>
          <w:rStyle w:val="DecValTok"/>
        </w:rPr>
        <w:t xml:space="preserve">2</w:t>
      </w:r>
      <w:r>
        <w:rPr>
          <w:rStyle w:val="NormalTok"/>
        </w:rPr>
        <w:t xml:space="preserve">, </w:t>
      </w:r>
      <w:r>
        <w:rPr>
          <w:rStyle w:val="DecValTok"/>
        </w:rPr>
        <w:t xml:space="preserve">400</w:t>
      </w:r>
      <w:r>
        <w:rPr>
          <w:rStyle w:val="NormalTok"/>
        </w:rPr>
        <w:t xml:space="preserve">, </w:t>
      </w:r>
      <w:r>
        <w:rPr>
          <w:rStyle w:val="AttributeTok"/>
        </w:rPr>
        <w:t xml:space="preserve">replace =</w:t>
      </w:r>
      <w:r>
        <w:rPr>
          <w:rStyle w:val="NormalTok"/>
        </w:rPr>
        <w:t xml:space="preserve"> </w:t>
      </w:r>
      <w:r>
        <w:rPr>
          <w:rStyle w:val="ConstantTok"/>
        </w:rPr>
        <w:t xml:space="preserve">TRUE</w:t>
      </w:r>
      <w:r>
        <w:rPr>
          <w:rStyle w:val="NormalTok"/>
        </w:rPr>
        <w:t xml:space="preserve">)</w:t>
      </w:r>
      <w:r>
        <w:br/>
      </w:r>
      <w:r>
        <w:rPr>
          <w:rStyle w:val="NormalTok"/>
        </w:rPr>
        <w:t xml:space="preserve">x_types </w:t>
      </w:r>
      <w:r>
        <w:rPr>
          <w:rStyle w:val="OtherTok"/>
        </w:rPr>
        <w:t xml:space="preserve">&lt;-</w:t>
      </w:r>
      <w:r>
        <w:rPr>
          <w:rStyle w:val="NormalTok"/>
        </w:rPr>
        <w:t xml:space="preserve"> </w:t>
      </w:r>
      <w:r>
        <w:rPr>
          <w:rStyle w:val="FunctionTok"/>
        </w:rPr>
        <w:t xml:space="preserve">matrix</w:t>
      </w:r>
      <w:r>
        <w:rPr>
          <w:rStyle w:val="NormalTok"/>
        </w:rPr>
        <w:t xml:space="preserve">(</w:t>
      </w:r>
      <w:r>
        <w:rPr>
          <w:rStyle w:val="FunctionTok"/>
        </w:rPr>
        <w:t xml:space="preserve">rnorm</w:t>
      </w:r>
      <w:r>
        <w:rPr>
          <w:rStyle w:val="NormalTok"/>
        </w:rPr>
        <w:t xml:space="preserve">(</w:t>
      </w:r>
      <w:r>
        <w:rPr>
          <w:rStyle w:val="DecValTok"/>
        </w:rPr>
        <w:t xml:space="preserve">400</w:t>
      </w:r>
      <w:r>
        <w:rPr>
          <w:rStyle w:val="NormalTok"/>
        </w:rPr>
        <w:t xml:space="preserve"> </w:t>
      </w:r>
      <w:r>
        <w:rPr>
          <w:rStyle w:val="SpecialCharTok"/>
        </w:rPr>
        <w:t xml:space="preserve">*</w:t>
      </w:r>
      <w:r>
        <w:rPr>
          <w:rStyle w:val="NormalTok"/>
        </w:rPr>
        <w:t xml:space="preserve"> </w:t>
      </w:r>
      <w:r>
        <w:rPr>
          <w:rStyle w:val="DecValTok"/>
        </w:rPr>
        <w:t xml:space="preserve">4</w:t>
      </w:r>
      <w:r>
        <w:rPr>
          <w:rStyle w:val="NormalTok"/>
        </w:rPr>
        <w:t xml:space="preserve">), </w:t>
      </w:r>
      <w:r>
        <w:rPr>
          <w:rStyle w:val="DecValTok"/>
        </w:rPr>
        <w:t xml:space="preserve">400</w:t>
      </w:r>
      <w:r>
        <w:rPr>
          <w:rStyle w:val="NormalTok"/>
        </w:rPr>
        <w:t xml:space="preserve">, </w:t>
      </w:r>
      <w:r>
        <w:rPr>
          <w:rStyle w:val="DecValTok"/>
        </w:rPr>
        <w:t xml:space="preserve">4</w:t>
      </w:r>
      <w:r>
        <w:rPr>
          <w:rStyle w:val="NormalTok"/>
        </w:rPr>
        <w:t xml:space="preserve">)</w:t>
      </w:r>
      <w:r>
        <w:br/>
      </w:r>
      <w:r>
        <w:rPr>
          <w:rStyle w:val="NormalTok"/>
        </w:rPr>
        <w:t xml:space="preserve">L1 </w:t>
      </w:r>
      <w:r>
        <w:rPr>
          <w:rStyle w:val="OtherTok"/>
        </w:rPr>
        <w:t xml:space="preserve">&lt;-</w:t>
      </w:r>
      <w:r>
        <w:rPr>
          <w:rStyle w:val="NormalTok"/>
        </w:rPr>
        <w:t xml:space="preserve"> </w:t>
      </w:r>
      <w:r>
        <w:rPr>
          <w:rStyle w:val="FunctionTok"/>
        </w:rPr>
        <w:t xml:space="preserve">chol</w:t>
      </w:r>
      <w:r>
        <w:rPr>
          <w:rStyle w:val="NormalTok"/>
        </w:rPr>
        <w:t xml:space="preserve">(</w:t>
      </w:r>
      <w:r>
        <w:rPr>
          <w:rStyle w:val="FunctionTok"/>
        </w:rPr>
        <w:t xml:space="preserve">matrix</w:t>
      </w:r>
      <w:r>
        <w:rPr>
          <w:rStyle w:val="NormalTok"/>
        </w:rPr>
        <w:t xml:space="preserve">(</w:t>
      </w:r>
      <w:r>
        <w:rPr>
          <w:rStyle w:val="FunctionTok"/>
        </w:rPr>
        <w:t xml:space="preserve">c</w:t>
      </w:r>
      <w:r>
        <w:rPr>
          <w:rStyle w:val="NormalTok"/>
        </w:rPr>
        <w:t xml:space="preserve">(</w:t>
      </w:r>
      <w:r>
        <w:rPr>
          <w:rStyle w:val="DecValTok"/>
        </w:rPr>
        <w:t xml:space="preserve">1</w:t>
      </w:r>
      <w:r>
        <w:rPr>
          <w:rStyle w:val="NormalTok"/>
        </w:rPr>
        <w:t xml:space="preserve">,  .</w:t>
      </w:r>
      <w:r>
        <w:rPr>
          <w:rStyle w:val="DecValTok"/>
        </w:rPr>
        <w:t xml:space="preserve">85</w:t>
      </w:r>
      <w:r>
        <w:rPr>
          <w:rStyle w:val="NormalTok"/>
        </w:rPr>
        <w:t xml:space="preserve">,  .</w:t>
      </w:r>
      <w:r>
        <w:rPr>
          <w:rStyle w:val="DecValTok"/>
        </w:rPr>
        <w:t xml:space="preserve">85</w:t>
      </w:r>
      <w:r>
        <w:rPr>
          <w:rStyle w:val="NormalTok"/>
        </w:rPr>
        <w:t xml:space="preserve">, </w:t>
      </w:r>
      <w:r>
        <w:rPr>
          <w:rStyle w:val="DecValTok"/>
        </w:rPr>
        <w:t xml:space="preserve">1</w:t>
      </w:r>
      <w:r>
        <w:rPr>
          <w:rStyle w:val="NormalTok"/>
        </w:rPr>
        <w:t xml:space="preserve">), </w:t>
      </w:r>
      <w:r>
        <w:rPr>
          <w:rStyle w:val="DecValTok"/>
        </w:rPr>
        <w:t xml:space="preserve">2</w:t>
      </w:r>
      <w:r>
        <w:rPr>
          <w:rStyle w:val="NormalTok"/>
        </w:rPr>
        <w:t xml:space="preserve">, </w:t>
      </w:r>
      <w:r>
        <w:rPr>
          <w:rStyle w:val="DecValTok"/>
        </w:rPr>
        <w:t xml:space="preserve">2</w:t>
      </w:r>
      <w:r>
        <w:rPr>
          <w:rStyle w:val="NormalTok"/>
        </w:rPr>
        <w:t xml:space="preserve">))</w:t>
      </w:r>
      <w:r>
        <w:br/>
      </w:r>
      <w:r>
        <w:rPr>
          <w:rStyle w:val="NormalTok"/>
        </w:rPr>
        <w:t xml:space="preserve">L2 </w:t>
      </w:r>
      <w:r>
        <w:rPr>
          <w:rStyle w:val="OtherTok"/>
        </w:rPr>
        <w:t xml:space="preserve">&lt;-</w:t>
      </w:r>
      <w:r>
        <w:rPr>
          <w:rStyle w:val="NormalTok"/>
        </w:rPr>
        <w:t xml:space="preserve"> </w:t>
      </w:r>
      <w:r>
        <w:rPr>
          <w:rStyle w:val="FunctionTok"/>
        </w:rPr>
        <w:t xml:space="preserve">chol</w:t>
      </w:r>
      <w:r>
        <w:rPr>
          <w:rStyle w:val="NormalTok"/>
        </w:rPr>
        <w:t xml:space="preserve">(</w:t>
      </w:r>
      <w:r>
        <w:rPr>
          <w:rStyle w:val="FunctionTok"/>
        </w:rPr>
        <w:t xml:space="preserve">matrix</w:t>
      </w:r>
      <w:r>
        <w:rPr>
          <w:rStyle w:val="NormalTok"/>
        </w:rPr>
        <w:t xml:space="preserve">(</w:t>
      </w:r>
      <w:r>
        <w:rPr>
          <w:rStyle w:val="FunctionTok"/>
        </w:rPr>
        <w:t xml:space="preserve">c</w:t>
      </w:r>
      <w:r>
        <w:rPr>
          <w:rStyle w:val="NormalTok"/>
        </w:rPr>
        <w:t xml:space="preserve">(</w:t>
      </w:r>
      <w:r>
        <w:rPr>
          <w:rStyle w:val="DecValTok"/>
        </w:rPr>
        <w:t xml:space="preserve">1</w:t>
      </w:r>
      <w:r>
        <w:rPr>
          <w:rStyle w:val="NormalTok"/>
        </w:rPr>
        <w:t xml:space="preserve">, </w:t>
      </w:r>
      <w:r>
        <w:rPr>
          <w:rStyle w:val="SpecialCharTok"/>
        </w:rPr>
        <w:t xml:space="preserve">-</w:t>
      </w:r>
      <w:r>
        <w:rPr>
          <w:rStyle w:val="NormalTok"/>
        </w:rPr>
        <w:t xml:space="preserve">.</w:t>
      </w:r>
      <w:r>
        <w:rPr>
          <w:rStyle w:val="DecValTok"/>
        </w:rPr>
        <w:t xml:space="preserve">85</w:t>
      </w:r>
      <w:r>
        <w:rPr>
          <w:rStyle w:val="NormalTok"/>
        </w:rPr>
        <w:t xml:space="preserve">, </w:t>
      </w:r>
      <w:r>
        <w:rPr>
          <w:rStyle w:val="SpecialCharTok"/>
        </w:rPr>
        <w:t xml:space="preserve">-</w:t>
      </w:r>
      <w:r>
        <w:rPr>
          <w:rStyle w:val="NormalTok"/>
        </w:rPr>
        <w:t xml:space="preserve">.</w:t>
      </w:r>
      <w:r>
        <w:rPr>
          <w:rStyle w:val="DecValTok"/>
        </w:rPr>
        <w:t xml:space="preserve">85</w:t>
      </w:r>
      <w:r>
        <w:rPr>
          <w:rStyle w:val="NormalTok"/>
        </w:rPr>
        <w:t xml:space="preserve">, </w:t>
      </w:r>
      <w:r>
        <w:rPr>
          <w:rStyle w:val="DecValTok"/>
        </w:rPr>
        <w:t xml:space="preserve">1</w:t>
      </w:r>
      <w:r>
        <w:rPr>
          <w:rStyle w:val="NormalTok"/>
        </w:rPr>
        <w:t xml:space="preserve">), </w:t>
      </w:r>
      <w:r>
        <w:rPr>
          <w:rStyle w:val="DecValTok"/>
        </w:rPr>
        <w:t xml:space="preserve">2</w:t>
      </w:r>
      <w:r>
        <w:rPr>
          <w:rStyle w:val="NormalTok"/>
        </w:rPr>
        <w:t xml:space="preserve">, </w:t>
      </w:r>
      <w:r>
        <w:rPr>
          <w:rStyle w:val="DecValTok"/>
        </w:rPr>
        <w:t xml:space="preserve">2</w:t>
      </w:r>
      <w:r>
        <w:rPr>
          <w:rStyle w:val="NormalTok"/>
        </w:rPr>
        <w:t xml:space="preserve">))</w:t>
      </w:r>
      <w:r>
        <w:br/>
      </w:r>
      <w:r>
        <w:rPr>
          <w:rStyle w:val="NormalTok"/>
        </w:rPr>
        <w:t xml:space="preserve">x_types[z </w:t>
      </w:r>
      <w:r>
        <w:rPr>
          <w:rStyle w:val="SpecialCharTok"/>
        </w:rPr>
        <w:t xml:space="preserve">==</w:t>
      </w:r>
      <w:r>
        <w:rPr>
          <w:rStyle w:val="NormalTok"/>
        </w:rPr>
        <w:t xml:space="preserve"> </w:t>
      </w:r>
      <w:r>
        <w:rPr>
          <w:rStyle w:val="DecValTok"/>
        </w:rPr>
        <w:t xml:space="preserve">1</w:t>
      </w:r>
      <w:r>
        <w:rPr>
          <w:rStyle w:val="NormalTok"/>
        </w:rPr>
        <w:t xml:space="preserve">, </w:t>
      </w:r>
      <w:r>
        <w:rPr>
          <w:rStyle w:val="DecValTok"/>
        </w:rPr>
        <w:t xml:space="preserve">1</w:t>
      </w:r>
      <w:r>
        <w:rPr>
          <w:rStyle w:val="SpecialCharTok"/>
        </w:rPr>
        <w:t xml:space="preserve">:</w:t>
      </w:r>
      <w:r>
        <w:rPr>
          <w:rStyle w:val="DecValTok"/>
        </w:rPr>
        <w:t xml:space="preserve">2</w:t>
      </w:r>
      <w:r>
        <w:rPr>
          <w:rStyle w:val="NormalTok"/>
        </w:rPr>
        <w:t xml:space="preserve">] </w:t>
      </w:r>
      <w:r>
        <w:rPr>
          <w:rStyle w:val="OtherTok"/>
        </w:rPr>
        <w:t xml:space="preserve">&lt;-</w:t>
      </w:r>
      <w:r>
        <w:rPr>
          <w:rStyle w:val="NormalTok"/>
        </w:rPr>
        <w:t xml:space="preserve"> x_types[z </w:t>
      </w:r>
      <w:r>
        <w:rPr>
          <w:rStyle w:val="SpecialCharTok"/>
        </w:rPr>
        <w:t xml:space="preserve">==</w:t>
      </w:r>
      <w:r>
        <w:rPr>
          <w:rStyle w:val="NormalTok"/>
        </w:rPr>
        <w:t xml:space="preserve"> </w:t>
      </w:r>
      <w:r>
        <w:rPr>
          <w:rStyle w:val="DecValTok"/>
        </w:rPr>
        <w:t xml:space="preserve">1</w:t>
      </w:r>
      <w:r>
        <w:rPr>
          <w:rStyle w:val="NormalTok"/>
        </w:rPr>
        <w:t xml:space="preserve">, </w:t>
      </w:r>
      <w:r>
        <w:rPr>
          <w:rStyle w:val="DecValTok"/>
        </w:rPr>
        <w:t xml:space="preserve">1</w:t>
      </w:r>
      <w:r>
        <w:rPr>
          <w:rStyle w:val="SpecialCharTok"/>
        </w:rPr>
        <w:t xml:space="preserve">:</w:t>
      </w:r>
      <w:r>
        <w:rPr>
          <w:rStyle w:val="DecValTok"/>
        </w:rPr>
        <w:t xml:space="preserve">2</w:t>
      </w:r>
      <w:r>
        <w:rPr>
          <w:rStyle w:val="NormalTok"/>
        </w:rPr>
        <w:t xml:space="preserve">] </w:t>
      </w:r>
      <w:r>
        <w:rPr>
          <w:rStyle w:val="SpecialCharTok"/>
        </w:rPr>
        <w:t xml:space="preserve">%*%</w:t>
      </w:r>
      <w:r>
        <w:rPr>
          <w:rStyle w:val="NormalTok"/>
        </w:rPr>
        <w:t xml:space="preserve"> L1</w:t>
      </w:r>
      <w:r>
        <w:br/>
      </w:r>
      <w:r>
        <w:rPr>
          <w:rStyle w:val="NormalTok"/>
        </w:rPr>
        <w:t xml:space="preserve">x_types[z </w:t>
      </w:r>
      <w:r>
        <w:rPr>
          <w:rStyle w:val="SpecialCharTok"/>
        </w:rPr>
        <w:t xml:space="preserve">==</w:t>
      </w:r>
      <w:r>
        <w:rPr>
          <w:rStyle w:val="NormalTok"/>
        </w:rPr>
        <w:t xml:space="preserve"> </w:t>
      </w:r>
      <w:r>
        <w:rPr>
          <w:rStyle w:val="DecValTok"/>
        </w:rPr>
        <w:t xml:space="preserve">1</w:t>
      </w:r>
      <w:r>
        <w:rPr>
          <w:rStyle w:val="NormalTok"/>
        </w:rPr>
        <w:t xml:space="preserve">, </w:t>
      </w:r>
      <w:r>
        <w:rPr>
          <w:rStyle w:val="DecValTok"/>
        </w:rPr>
        <w:t xml:space="preserve">3</w:t>
      </w:r>
      <w:r>
        <w:rPr>
          <w:rStyle w:val="SpecialCharTok"/>
        </w:rPr>
        <w:t xml:space="preserve">:</w:t>
      </w:r>
      <w:r>
        <w:rPr>
          <w:rStyle w:val="DecValTok"/>
        </w:rPr>
        <w:t xml:space="preserve">4</w:t>
      </w:r>
      <w:r>
        <w:rPr>
          <w:rStyle w:val="NormalTok"/>
        </w:rPr>
        <w:t xml:space="preserve">] </w:t>
      </w:r>
      <w:r>
        <w:rPr>
          <w:rStyle w:val="OtherTok"/>
        </w:rPr>
        <w:t xml:space="preserve">&lt;-</w:t>
      </w:r>
      <w:r>
        <w:rPr>
          <w:rStyle w:val="NormalTok"/>
        </w:rPr>
        <w:t xml:space="preserve"> x_types[z </w:t>
      </w:r>
      <w:r>
        <w:rPr>
          <w:rStyle w:val="SpecialCharTok"/>
        </w:rPr>
        <w:t xml:space="preserve">==</w:t>
      </w:r>
      <w:r>
        <w:rPr>
          <w:rStyle w:val="NormalTok"/>
        </w:rPr>
        <w:t xml:space="preserve"> </w:t>
      </w:r>
      <w:r>
        <w:rPr>
          <w:rStyle w:val="DecValTok"/>
        </w:rPr>
        <w:t xml:space="preserve">1</w:t>
      </w:r>
      <w:r>
        <w:rPr>
          <w:rStyle w:val="NormalTok"/>
        </w:rPr>
        <w:t xml:space="preserve">, </w:t>
      </w:r>
      <w:r>
        <w:rPr>
          <w:rStyle w:val="DecValTok"/>
        </w:rPr>
        <w:t xml:space="preserve">3</w:t>
      </w:r>
      <w:r>
        <w:rPr>
          <w:rStyle w:val="SpecialCharTok"/>
        </w:rPr>
        <w:t xml:space="preserve">:</w:t>
      </w:r>
      <w:r>
        <w:rPr>
          <w:rStyle w:val="DecValTok"/>
        </w:rPr>
        <w:t xml:space="preserve">4</w:t>
      </w:r>
      <w:r>
        <w:rPr>
          <w:rStyle w:val="NormalTok"/>
        </w:rPr>
        <w:t xml:space="preserve">] </w:t>
      </w:r>
      <w:r>
        <w:rPr>
          <w:rStyle w:val="SpecialCharTok"/>
        </w:rPr>
        <w:t xml:space="preserve">%*%</w:t>
      </w:r>
      <w:r>
        <w:rPr>
          <w:rStyle w:val="NormalTok"/>
        </w:rPr>
        <w:t xml:space="preserve"> L1</w:t>
      </w:r>
      <w:r>
        <w:br/>
      </w:r>
      <w:r>
        <w:rPr>
          <w:rStyle w:val="NormalTok"/>
        </w:rPr>
        <w:t xml:space="preserve">x_types[z </w:t>
      </w:r>
      <w:r>
        <w:rPr>
          <w:rStyle w:val="SpecialCharTok"/>
        </w:rPr>
        <w:t xml:space="preserve">==</w:t>
      </w:r>
      <w:r>
        <w:rPr>
          <w:rStyle w:val="NormalTok"/>
        </w:rPr>
        <w:t xml:space="preserve"> </w:t>
      </w:r>
      <w:r>
        <w:rPr>
          <w:rStyle w:val="DecValTok"/>
        </w:rPr>
        <w:t xml:space="preserve">2</w:t>
      </w:r>
      <w:r>
        <w:rPr>
          <w:rStyle w:val="NormalTok"/>
        </w:rPr>
        <w:t xml:space="preserve">, </w:t>
      </w:r>
      <w:r>
        <w:rPr>
          <w:rStyle w:val="DecValTok"/>
        </w:rPr>
        <w:t xml:space="preserve">1</w:t>
      </w:r>
      <w:r>
        <w:rPr>
          <w:rStyle w:val="SpecialCharTok"/>
        </w:rPr>
        <w:t xml:space="preserve">:</w:t>
      </w:r>
      <w:r>
        <w:rPr>
          <w:rStyle w:val="DecValTok"/>
        </w:rPr>
        <w:t xml:space="preserve">2</w:t>
      </w:r>
      <w:r>
        <w:rPr>
          <w:rStyle w:val="NormalTok"/>
        </w:rPr>
        <w:t xml:space="preserve">] </w:t>
      </w:r>
      <w:r>
        <w:rPr>
          <w:rStyle w:val="OtherTok"/>
        </w:rPr>
        <w:t xml:space="preserve">&lt;-</w:t>
      </w:r>
      <w:r>
        <w:rPr>
          <w:rStyle w:val="NormalTok"/>
        </w:rPr>
        <w:t xml:space="preserve"> x_types[z </w:t>
      </w:r>
      <w:r>
        <w:rPr>
          <w:rStyle w:val="SpecialCharTok"/>
        </w:rPr>
        <w:t xml:space="preserve">==</w:t>
      </w:r>
      <w:r>
        <w:rPr>
          <w:rStyle w:val="NormalTok"/>
        </w:rPr>
        <w:t xml:space="preserve"> </w:t>
      </w:r>
      <w:r>
        <w:rPr>
          <w:rStyle w:val="DecValTok"/>
        </w:rPr>
        <w:t xml:space="preserve">2</w:t>
      </w:r>
      <w:r>
        <w:rPr>
          <w:rStyle w:val="NormalTok"/>
        </w:rPr>
        <w:t xml:space="preserve">, </w:t>
      </w:r>
      <w:r>
        <w:rPr>
          <w:rStyle w:val="DecValTok"/>
        </w:rPr>
        <w:t xml:space="preserve">1</w:t>
      </w:r>
      <w:r>
        <w:rPr>
          <w:rStyle w:val="SpecialCharTok"/>
        </w:rPr>
        <w:t xml:space="preserve">:</w:t>
      </w:r>
      <w:r>
        <w:rPr>
          <w:rStyle w:val="DecValTok"/>
        </w:rPr>
        <w:t xml:space="preserve">2</w:t>
      </w:r>
      <w:r>
        <w:rPr>
          <w:rStyle w:val="NormalTok"/>
        </w:rPr>
        <w:t xml:space="preserve">] </w:t>
      </w:r>
      <w:r>
        <w:rPr>
          <w:rStyle w:val="SpecialCharTok"/>
        </w:rPr>
        <w:t xml:space="preserve">%*%</w:t>
      </w:r>
      <w:r>
        <w:rPr>
          <w:rStyle w:val="NormalTok"/>
        </w:rPr>
        <w:t xml:space="preserve"> L2</w:t>
      </w:r>
      <w:r>
        <w:br/>
      </w:r>
      <w:r>
        <w:rPr>
          <w:rStyle w:val="NormalTok"/>
        </w:rPr>
        <w:t xml:space="preserve">x_types[z </w:t>
      </w:r>
      <w:r>
        <w:rPr>
          <w:rStyle w:val="SpecialCharTok"/>
        </w:rPr>
        <w:t xml:space="preserve">==</w:t>
      </w:r>
      <w:r>
        <w:rPr>
          <w:rStyle w:val="NormalTok"/>
        </w:rPr>
        <w:t xml:space="preserve"> </w:t>
      </w:r>
      <w:r>
        <w:rPr>
          <w:rStyle w:val="DecValTok"/>
        </w:rPr>
        <w:t xml:space="preserve">2</w:t>
      </w:r>
      <w:r>
        <w:rPr>
          <w:rStyle w:val="NormalTok"/>
        </w:rPr>
        <w:t xml:space="preserve">, </w:t>
      </w:r>
      <w:r>
        <w:rPr>
          <w:rStyle w:val="DecValTok"/>
        </w:rPr>
        <w:t xml:space="preserve">3</w:t>
      </w:r>
      <w:r>
        <w:rPr>
          <w:rStyle w:val="SpecialCharTok"/>
        </w:rPr>
        <w:t xml:space="preserve">:</w:t>
      </w:r>
      <w:r>
        <w:rPr>
          <w:rStyle w:val="DecValTok"/>
        </w:rPr>
        <w:t xml:space="preserve">4</w:t>
      </w:r>
      <w:r>
        <w:rPr>
          <w:rStyle w:val="NormalTok"/>
        </w:rPr>
        <w:t xml:space="preserve">] </w:t>
      </w:r>
      <w:r>
        <w:rPr>
          <w:rStyle w:val="OtherTok"/>
        </w:rPr>
        <w:t xml:space="preserve">&lt;-</w:t>
      </w:r>
      <w:r>
        <w:rPr>
          <w:rStyle w:val="NormalTok"/>
        </w:rPr>
        <w:t xml:space="preserve"> x_types[z </w:t>
      </w:r>
      <w:r>
        <w:rPr>
          <w:rStyle w:val="SpecialCharTok"/>
        </w:rPr>
        <w:t xml:space="preserve">==</w:t>
      </w:r>
      <w:r>
        <w:rPr>
          <w:rStyle w:val="NormalTok"/>
        </w:rPr>
        <w:t xml:space="preserve"> </w:t>
      </w:r>
      <w:r>
        <w:rPr>
          <w:rStyle w:val="DecValTok"/>
        </w:rPr>
        <w:t xml:space="preserve">2</w:t>
      </w:r>
      <w:r>
        <w:rPr>
          <w:rStyle w:val="NormalTok"/>
        </w:rPr>
        <w:t xml:space="preserve">, </w:t>
      </w:r>
      <w:r>
        <w:rPr>
          <w:rStyle w:val="DecValTok"/>
        </w:rPr>
        <w:t xml:space="preserve">3</w:t>
      </w:r>
      <w:r>
        <w:rPr>
          <w:rStyle w:val="SpecialCharTok"/>
        </w:rPr>
        <w:t xml:space="preserve">:</w:t>
      </w:r>
      <w:r>
        <w:rPr>
          <w:rStyle w:val="DecValTok"/>
        </w:rPr>
        <w:t xml:space="preserve">4</w:t>
      </w:r>
      <w:r>
        <w:rPr>
          <w:rStyle w:val="NormalTok"/>
        </w:rPr>
        <w:t xml:space="preserve">] </w:t>
      </w:r>
      <w:r>
        <w:rPr>
          <w:rStyle w:val="SpecialCharTok"/>
        </w:rPr>
        <w:t xml:space="preserve">%*%</w:t>
      </w:r>
      <w:r>
        <w:rPr>
          <w:rStyle w:val="NormalTok"/>
        </w:rPr>
        <w:t xml:space="preserve"> L2</w:t>
      </w:r>
      <w:r>
        <w:br/>
      </w:r>
      <w:r>
        <w:br/>
      </w:r>
      <w:r>
        <w:rPr>
          <w:rStyle w:val="FunctionTok"/>
        </w:rPr>
        <w:t xml:space="preserve">set.seed</w:t>
      </w:r>
      <w:r>
        <w:rPr>
          <w:rStyle w:val="NormalTok"/>
        </w:rPr>
        <w:t xml:space="preserve">(</w:t>
      </w:r>
      <w:r>
        <w:rPr>
          <w:rStyle w:val="DecValTok"/>
        </w:rPr>
        <w:t xml:space="preserve">20260620</w:t>
      </w:r>
      <w:r>
        <w:rPr>
          <w:rStyle w:val="NormalTok"/>
        </w:rPr>
        <w:t xml:space="preserve">)</w:t>
      </w:r>
      <w:r>
        <w:br/>
      </w:r>
      <w:r>
        <w:rPr>
          <w:rStyle w:val="FunctionTok"/>
        </w:rPr>
        <w:t xml:space="preserve">matched_null_test</w:t>
      </w:r>
      <w:r>
        <w:rPr>
          <w:rStyle w:val="NormalTok"/>
        </w:rPr>
        <w:t xml:space="preserve">(x_types, pick_k, </w:t>
      </w:r>
      <w:r>
        <w:rPr>
          <w:rStyle w:val="AttributeTok"/>
        </w:rPr>
        <w:t xml:space="preserve">R =</w:t>
      </w:r>
      <w:r>
        <w:rPr>
          <w:rStyle w:val="NormalTok"/>
        </w:rPr>
        <w:t xml:space="preserve"> </w:t>
      </w:r>
      <w:r>
        <w:rPr>
          <w:rStyle w:val="DecValTok"/>
        </w:rPr>
        <w:t xml:space="preserve">200</w:t>
      </w:r>
      <w:r>
        <w:rPr>
          <w:rStyle w:val="NormalTok"/>
        </w:rPr>
        <w:t xml:space="preserve">)</w:t>
      </w:r>
      <w:r>
        <w:br/>
      </w:r>
      <w:r>
        <w:rPr>
          <w:rStyle w:val="CommentTok"/>
        </w:rPr>
        <w:t xml:space="preserve">#&gt; Matched-null test (200 null twins)</w:t>
      </w:r>
      <w:r>
        <w:br/>
      </w:r>
      <w:r>
        <w:rPr>
          <w:rStyle w:val="CommentTok"/>
        </w:rPr>
        <w:t xml:space="preserve">#&gt;   real statistic:      2</w:t>
      </w:r>
      <w:r>
        <w:br/>
      </w:r>
      <w:r>
        <w:rPr>
          <w:rStyle w:val="CommentTok"/>
        </w:rPr>
        <w:t xml:space="preserve">#&gt;   null interval:       [1, 1]</w:t>
      </w:r>
      <w:r>
        <w:br/>
      </w:r>
      <w:r>
        <w:rPr>
          <w:rStyle w:val="CommentTok"/>
        </w:rPr>
        <w:t xml:space="preserve">#&gt;   p (real &gt;= nulls):   0.005</w:t>
      </w:r>
      <w:r>
        <w:br/>
      </w:r>
      <w:r>
        <w:rPr>
          <w:rStyle w:val="CommentTok"/>
        </w:rPr>
        <w:t xml:space="preserve">#&gt;   verdict:             exceeds the null (beyond margins + covariance)</w:t>
      </w:r>
    </w:p>
    <w:p>
      <w:pPr>
        <w:pStyle w:val="FirstParagraph"/>
      </w:pPr>
      <w:r>
        <w:t xml:space="preserve">The twins of these data have the same (near-zero) pooled correlations and the same margins,</w:t>
      </w:r>
      <w:r>
        <w:t xml:space="preserve"> </w:t>
      </w:r>
      <w:r>
        <w:t xml:space="preserve">but no groups, and the pipeline finds one component in every one of them; in the real data it</w:t>
      </w:r>
      <w:r>
        <w:t xml:space="preserve"> </w:t>
      </w:r>
      <w:r>
        <w:t xml:space="preserve">finds two.</w:t>
      </w:r>
      <w:r>
        <w:t xml:space="preserve"> </w:t>
      </w:r>
      <w:r>
        <w:t xml:space="preserve">“Exceeds the null”</w:t>
      </w:r>
      <w:r>
        <w:t xml:space="preserve"> </w:t>
      </w:r>
      <w:r>
        <w:t xml:space="preserve">means exactly this: the clustering draws on structure beyond</w:t>
      </w:r>
      <w:r>
        <w:t xml:space="preserve"> </w:t>
      </w:r>
      <w:r>
        <w:t xml:space="preserve">what the margins and correlations supply. Whether that structure is categorical is the next</w:t>
      </w:r>
      <w:r>
        <w:t xml:space="preserve"> </w:t>
      </w:r>
      <w:r>
        <w:t xml:space="preserve">question, not the same one, and it is answered by the signature checks of the workflow below.</w:t>
      </w:r>
    </w:p>
    <w:bookmarkEnd w:id="17"/>
    <w:bookmarkStart w:id="18" w:name="any-engine-one-changed-line"/>
    <w:p>
      <w:pPr>
        <w:pStyle w:val="Heading2"/>
      </w:pPr>
      <w:r>
        <w:t xml:space="preserve">Any engine, one changed line</w:t>
      </w:r>
    </w:p>
    <w:p>
      <w:pPr>
        <w:pStyle w:val="FirstParagraph"/>
      </w:pPr>
      <w:r>
        <w:t xml:space="preserve">The null is defined on the data, not on the algorithm, so</w:t>
      </w:r>
      <w:r>
        <w:t xml:space="preserve"> </w:t>
      </w:r>
      <w:r>
        <w:rPr>
          <w:rStyle w:val="VerbatimChar"/>
        </w:rPr>
        <w:t xml:space="preserve">cluster_fn</w:t>
      </w:r>
      <w:r>
        <w:t xml:space="preserve"> </w:t>
      </w:r>
      <w:r>
        <w:t xml:space="preserve">can wrap anything that</w:t>
      </w:r>
      <w:r>
        <w:t xml:space="preserve"> </w:t>
      </w:r>
      <w:r>
        <w:t xml:space="preserve">returns a scalar: a k-means heuristic, a hierarchical cut, or a published typology’s exact</w:t>
      </w:r>
      <w:r>
        <w:t xml:space="preserve"> </w:t>
      </w:r>
      <w:r>
        <w:t xml:space="preserve">workflow, run unchanged.</w:t>
      </w:r>
    </w:p>
    <w:p>
      <w:pPr>
        <w:pStyle w:val="SourceCode"/>
      </w:pPr>
      <w:r>
        <w:rPr>
          <w:rStyle w:val="FunctionTok"/>
        </w:rPr>
        <w:t xml:space="preserve">library</w:t>
      </w:r>
      <w:r>
        <w:rPr>
          <w:rStyle w:val="NormalTok"/>
        </w:rPr>
        <w:t xml:space="preserve">(cluster)</w:t>
      </w:r>
      <w:r>
        <w:br/>
      </w:r>
      <w:r>
        <w:rPr>
          <w:rStyle w:val="CommentTok"/>
        </w:rPr>
        <w:t xml:space="preserve"># a different engine: k-means, count chosen by the gap statistic</w:t>
      </w:r>
      <w:r>
        <w:br/>
      </w:r>
      <w:r>
        <w:rPr>
          <w:rStyle w:val="NormalTok"/>
        </w:rPr>
        <w:t xml:space="preserve">pick_k_km </w:t>
      </w:r>
      <w:r>
        <w:rPr>
          <w:rStyle w:val="OtherTok"/>
        </w:rPr>
        <w:t xml:space="preserve">&lt;-</w:t>
      </w:r>
      <w:r>
        <w:rPr>
          <w:rStyle w:val="NormalTok"/>
        </w:rPr>
        <w:t xml:space="preserve"> </w:t>
      </w:r>
      <w:r>
        <w:rPr>
          <w:rStyle w:val="ControlFlowTok"/>
        </w:rPr>
        <w:t xml:space="preserve">function</w:t>
      </w:r>
      <w:r>
        <w:rPr>
          <w:rStyle w:val="NormalTok"/>
        </w:rPr>
        <w:t xml:space="preserve">(d) {</w:t>
      </w:r>
      <w:r>
        <w:br/>
      </w:r>
      <w:r>
        <w:rPr>
          <w:rStyle w:val="NormalTok"/>
        </w:rPr>
        <w:t xml:space="preserve">  g </w:t>
      </w:r>
      <w:r>
        <w:rPr>
          <w:rStyle w:val="OtherTok"/>
        </w:rPr>
        <w:t xml:space="preserve">&lt;-</w:t>
      </w:r>
      <w:r>
        <w:rPr>
          <w:rStyle w:val="NormalTok"/>
        </w:rPr>
        <w:t xml:space="preserve"> </w:t>
      </w:r>
      <w:r>
        <w:rPr>
          <w:rStyle w:val="FunctionTok"/>
        </w:rPr>
        <w:t xml:space="preserve">clusGap</w:t>
      </w:r>
      <w:r>
        <w:rPr>
          <w:rStyle w:val="NormalTok"/>
        </w:rPr>
        <w:t xml:space="preserve">(d, kmeans, </w:t>
      </w:r>
      <w:r>
        <w:rPr>
          <w:rStyle w:val="AttributeTok"/>
        </w:rPr>
        <w:t xml:space="preserve">K.max =</w:t>
      </w:r>
      <w:r>
        <w:rPr>
          <w:rStyle w:val="NormalTok"/>
        </w:rPr>
        <w:t xml:space="preserve"> </w:t>
      </w:r>
      <w:r>
        <w:rPr>
          <w:rStyle w:val="DecValTok"/>
        </w:rPr>
        <w:t xml:space="preserve">10</w:t>
      </w:r>
      <w:r>
        <w:rPr>
          <w:rStyle w:val="NormalTok"/>
        </w:rPr>
        <w:t xml:space="preserve">, </w:t>
      </w:r>
      <w:r>
        <w:rPr>
          <w:rStyle w:val="AttributeTok"/>
        </w:rPr>
        <w:t xml:space="preserve">B =</w:t>
      </w:r>
      <w:r>
        <w:rPr>
          <w:rStyle w:val="NormalTok"/>
        </w:rPr>
        <w:t xml:space="preserve"> </w:t>
      </w:r>
      <w:r>
        <w:rPr>
          <w:rStyle w:val="DecValTok"/>
        </w:rPr>
        <w:t xml:space="preserve">50</w:t>
      </w:r>
      <w:r>
        <w:rPr>
          <w:rStyle w:val="NormalTok"/>
        </w:rPr>
        <w:t xml:space="preserve">, </w:t>
      </w:r>
      <w:r>
        <w:rPr>
          <w:rStyle w:val="AttributeTok"/>
        </w:rPr>
        <w:t xml:space="preserve">spaceH0 =</w:t>
      </w:r>
      <w:r>
        <w:rPr>
          <w:rStyle w:val="NormalTok"/>
        </w:rPr>
        <w:t xml:space="preserve"> </w:t>
      </w:r>
      <w:r>
        <w:rPr>
          <w:rStyle w:val="StringTok"/>
        </w:rPr>
        <w:t xml:space="preserve">"scaledPCA"</w:t>
      </w:r>
      <w:r>
        <w:rPr>
          <w:rStyle w:val="NormalTok"/>
        </w:rPr>
        <w:t xml:space="preserve">,</w:t>
      </w:r>
      <w:r>
        <w:br/>
      </w:r>
      <w:r>
        <w:rPr>
          <w:rStyle w:val="NormalTok"/>
        </w:rPr>
        <w:t xml:space="preserve">               </w:t>
      </w:r>
      <w:r>
        <w:rPr>
          <w:rStyle w:val="AttributeTok"/>
        </w:rPr>
        <w:t xml:space="preserve">nstart =</w:t>
      </w:r>
      <w:r>
        <w:rPr>
          <w:rStyle w:val="NormalTok"/>
        </w:rPr>
        <w:t xml:space="preserve"> </w:t>
      </w:r>
      <w:r>
        <w:rPr>
          <w:rStyle w:val="DecValTok"/>
        </w:rPr>
        <w:t xml:space="preserve">10</w:t>
      </w:r>
      <w:r>
        <w:rPr>
          <w:rStyle w:val="NormalTok"/>
        </w:rPr>
        <w:t xml:space="preserve">, </w:t>
      </w:r>
      <w:r>
        <w:rPr>
          <w:rStyle w:val="AttributeTok"/>
        </w:rPr>
        <w:t xml:space="preserve">iter.max =</w:t>
      </w:r>
      <w:r>
        <w:rPr>
          <w:rStyle w:val="NormalTok"/>
        </w:rPr>
        <w:t xml:space="preserve"> </w:t>
      </w:r>
      <w:r>
        <w:rPr>
          <w:rStyle w:val="DecValTok"/>
        </w:rPr>
        <w:t xml:space="preserve">30</w:t>
      </w:r>
      <w:r>
        <w:rPr>
          <w:rStyle w:val="NormalTok"/>
        </w:rPr>
        <w:t xml:space="preserve">)</w:t>
      </w:r>
      <w:r>
        <w:br/>
      </w:r>
      <w:r>
        <w:rPr>
          <w:rStyle w:val="NormalTok"/>
        </w:rPr>
        <w:t xml:space="preserve">  </w:t>
      </w:r>
      <w:r>
        <w:rPr>
          <w:rStyle w:val="FunctionTok"/>
        </w:rPr>
        <w:t xml:space="preserve">maxSE</w:t>
      </w:r>
      <w:r>
        <w:rPr>
          <w:rStyle w:val="NormalTok"/>
        </w:rPr>
        <w:t xml:space="preserve">(g</w:t>
      </w:r>
      <w:r>
        <w:rPr>
          <w:rStyle w:val="SpecialCharTok"/>
        </w:rPr>
        <w:t xml:space="preserve">$</w:t>
      </w:r>
      <w:r>
        <w:rPr>
          <w:rStyle w:val="NormalTok"/>
        </w:rPr>
        <w:t xml:space="preserve">Tab[, </w:t>
      </w:r>
      <w:r>
        <w:rPr>
          <w:rStyle w:val="StringTok"/>
        </w:rPr>
        <w:t xml:space="preserve">"gap"</w:t>
      </w:r>
      <w:r>
        <w:rPr>
          <w:rStyle w:val="NormalTok"/>
        </w:rPr>
        <w:t xml:space="preserve">], g</w:t>
      </w:r>
      <w:r>
        <w:rPr>
          <w:rStyle w:val="SpecialCharTok"/>
        </w:rPr>
        <w:t xml:space="preserve">$</w:t>
      </w:r>
      <w:r>
        <w:rPr>
          <w:rStyle w:val="NormalTok"/>
        </w:rPr>
        <w:t xml:space="preserve">Tab[, </w:t>
      </w:r>
      <w:r>
        <w:rPr>
          <w:rStyle w:val="StringTok"/>
        </w:rPr>
        <w:t xml:space="preserve">"SE.sim"</w:t>
      </w:r>
      <w:r>
        <w:rPr>
          <w:rStyle w:val="NormalTok"/>
        </w:rPr>
        <w:t xml:space="preserve">], </w:t>
      </w:r>
      <w:r>
        <w:rPr>
          <w:rStyle w:val="AttributeTok"/>
        </w:rPr>
        <w:t xml:space="preserve">method =</w:t>
      </w:r>
      <w:r>
        <w:rPr>
          <w:rStyle w:val="NormalTok"/>
        </w:rPr>
        <w:t xml:space="preserve"> </w:t>
      </w:r>
      <w:r>
        <w:rPr>
          <w:rStyle w:val="StringTok"/>
        </w:rPr>
        <w:t xml:space="preserve">"Tibs2001SEmax"</w:t>
      </w:r>
      <w:r>
        <w:rPr>
          <w:rStyle w:val="NormalTok"/>
        </w:rPr>
        <w:t xml:space="preserve">)</w:t>
      </w:r>
      <w:r>
        <w:br/>
      </w:r>
      <w:r>
        <w:rPr>
          <w:rStyle w:val="NormalTok"/>
        </w:rPr>
        <w:t xml:space="preserve">}</w:t>
      </w:r>
      <w:r>
        <w:br/>
      </w:r>
      <w:r>
        <w:rPr>
          <w:rStyle w:val="FunctionTok"/>
        </w:rPr>
        <w:t xml:space="preserve">set.seed</w:t>
      </w:r>
      <w:r>
        <w:rPr>
          <w:rStyle w:val="NormalTok"/>
        </w:rPr>
        <w:t xml:space="preserve">(</w:t>
      </w:r>
      <w:r>
        <w:rPr>
          <w:rStyle w:val="DecValTok"/>
        </w:rPr>
        <w:t xml:space="preserve">20260620</w:t>
      </w:r>
      <w:r>
        <w:rPr>
          <w:rStyle w:val="NormalTok"/>
        </w:rPr>
        <w:t xml:space="preserve">)</w:t>
      </w:r>
      <w:r>
        <w:br/>
      </w:r>
      <w:r>
        <w:rPr>
          <w:rStyle w:val="FunctionTok"/>
        </w:rPr>
        <w:t xml:space="preserve">matched_null_test</w:t>
      </w:r>
      <w:r>
        <w:rPr>
          <w:rStyle w:val="NormalTok"/>
        </w:rPr>
        <w:t xml:space="preserve">(x, pick_k_km, </w:t>
      </w:r>
      <w:r>
        <w:rPr>
          <w:rStyle w:val="AttributeTok"/>
        </w:rPr>
        <w:t xml:space="preserve">R =</w:t>
      </w:r>
      <w:r>
        <w:rPr>
          <w:rStyle w:val="NormalTok"/>
        </w:rPr>
        <w:t xml:space="preserve"> </w:t>
      </w:r>
      <w:r>
        <w:rPr>
          <w:rStyle w:val="DecValTok"/>
        </w:rPr>
        <w:t xml:space="preserve">200</w:t>
      </w:r>
      <w:r>
        <w:rPr>
          <w:rStyle w:val="NormalTok"/>
        </w:rPr>
        <w:t xml:space="preserve">)</w:t>
      </w:r>
      <w:r>
        <w:br/>
      </w:r>
      <w:r>
        <w:rPr>
          <w:rStyle w:val="CommentTok"/>
        </w:rPr>
        <w:t xml:space="preserve">#&gt; Matched-null test (200 null twins)</w:t>
      </w:r>
      <w:r>
        <w:br/>
      </w:r>
      <w:r>
        <w:rPr>
          <w:rStyle w:val="CommentTok"/>
        </w:rPr>
        <w:t xml:space="preserve">#&gt;   real statistic:      1</w:t>
      </w:r>
      <w:r>
        <w:br/>
      </w:r>
      <w:r>
        <w:rPr>
          <w:rStyle w:val="CommentTok"/>
        </w:rPr>
        <w:t xml:space="preserve">#&gt;   null interval:       [1, 1]</w:t>
      </w:r>
      <w:r>
        <w:br/>
      </w:r>
      <w:r>
        <w:rPr>
          <w:rStyle w:val="CommentTok"/>
        </w:rPr>
        <w:t xml:space="preserve">#&gt;   p (real &gt;= nulls):   1</w:t>
      </w:r>
      <w:r>
        <w:br/>
      </w:r>
      <w:r>
        <w:rPr>
          <w:rStyle w:val="CommentTok"/>
        </w:rPr>
        <w:t xml:space="preserve">#&gt;   verdict:             null-like (within the twins' interval)</w:t>
      </w:r>
    </w:p>
    <w:p>
      <w:pPr>
        <w:pStyle w:val="FirstParagraph"/>
      </w:pPr>
      <w:r>
        <w:t xml:space="preserve">Switching engines changes one line, and on the typeless data of the first example the verdict</w:t>
      </w:r>
      <w:r>
        <w:t xml:space="preserve"> </w:t>
      </w:r>
      <w:r>
        <w:t xml:space="preserve">is the same. The question, whether the real count exceeds what the data’s own margins and</w:t>
      </w:r>
      <w:r>
        <w:t xml:space="preserve"> </w:t>
      </w:r>
      <w:r>
        <w:t xml:space="preserve">correlations already produce, stays the same whatever the engine; engines differ only in what</w:t>
      </w:r>
      <w:r>
        <w:t xml:space="preserve"> </w:t>
      </w:r>
      <w:r>
        <w:t xml:space="preserve">they are able to see (a centroid method like k-means, for instance, has little power for the</w:t>
      </w:r>
      <w:r>
        <w:t xml:space="preserve"> </w:t>
      </w:r>
      <w:r>
        <w:t xml:space="preserve">dependence-defined groups of the second example, which is a property of the engine, not of</w:t>
      </w:r>
      <w:r>
        <w:t xml:space="preserve"> </w:t>
      </w:r>
      <w:r>
        <w:t xml:space="preserve">the test).</w:t>
      </w:r>
    </w:p>
    <w:bookmarkEnd w:id="18"/>
    <w:bookmarkStart w:id="19" w:name="the-full-workflow"/>
    <w:p>
      <w:pPr>
        <w:pStyle w:val="Heading2"/>
      </w:pPr>
      <w:r>
        <w:t xml:space="preserve">The full workflow</w:t>
      </w:r>
    </w:p>
    <w:p>
      <w:pPr>
        <w:pStyle w:val="FirstParagraph"/>
      </w:pPr>
      <w:r>
        <w:t xml:space="preserve">The count test sits inside a five-step workflow. The steps around it are not decoration; each</w:t>
      </w:r>
      <w:r>
        <w:t xml:space="preserve"> </w:t>
      </w:r>
      <w:r>
        <w:t xml:space="preserve">one guards a boundary the count test alone cannot.</w:t>
      </w:r>
    </w:p>
    <w:p>
      <w:pPr>
        <w:pStyle w:val="Compact"/>
        <w:numPr>
          <w:ilvl w:val="0"/>
          <w:numId w:val="1002"/>
        </w:numPr>
      </w:pPr>
      <w:r>
        <w:rPr>
          <w:b/>
          <w:bCs/>
        </w:rPr>
        <w:t xml:space="preserve">Inspect the margins</w:t>
      </w:r>
      <w:r>
        <w:t xml:space="preserve"> </w:t>
      </w:r>
      <w:r>
        <w:t xml:space="preserve">for pronounced multimodality, the one regime where the null is</w:t>
      </w:r>
      <w:r>
        <w:t xml:space="preserve"> </w:t>
      </w:r>
      <w:r>
        <w:t xml:space="preserve">blind (the reason is given in the final section). Granular scales are tie-broken with a</w:t>
      </w:r>
      <w:r>
        <w:t xml:space="preserve"> </w:t>
      </w:r>
      <w:r>
        <w:t xml:space="preserve">small jitter before a formal test such as Hartigan’s dip</w:t>
      </w:r>
      <w:r>
        <w:t xml:space="preserve"> </w:t>
      </w:r>
      <w:r>
        <w:t xml:space="preserve">(Hartigan &amp; Hartigan, 1985)</w:t>
      </w:r>
      <w:r>
        <w:t xml:space="preserve">.</w:t>
      </w:r>
    </w:p>
    <w:p>
      <w:pPr>
        <w:pStyle w:val="Compact"/>
        <w:numPr>
          <w:ilvl w:val="0"/>
          <w:numId w:val="1002"/>
        </w:numPr>
      </w:pPr>
      <w:r>
        <w:rPr>
          <w:b/>
          <w:bCs/>
        </w:rPr>
        <w:t xml:space="preserve">Draw the twins</w:t>
      </w:r>
      <w:r>
        <w:t xml:space="preserve"> </w:t>
      </w:r>
      <w:r>
        <w:t xml:space="preserve">with</w:t>
      </w:r>
      <w:r>
        <w:t xml:space="preserve"> </w:t>
      </w:r>
      <w:r>
        <w:rPr>
          <w:rStyle w:val="VerbatimChar"/>
        </w:rPr>
        <w:t xml:space="preserve">copula_null()</w:t>
      </w:r>
      <w:r>
        <w:t xml:space="preserve">.</w:t>
      </w:r>
    </w:p>
    <w:p>
      <w:pPr>
        <w:pStyle w:val="Compact"/>
        <w:numPr>
          <w:ilvl w:val="0"/>
          <w:numId w:val="1002"/>
        </w:numPr>
      </w:pPr>
      <w:r>
        <w:rPr>
          <w:b/>
          <w:bCs/>
        </w:rPr>
        <w:t xml:space="preserve">Run the identical clustering pipeline</w:t>
      </w:r>
      <w:r>
        <w:t xml:space="preserve">, whatever it is, on the real data and on every</w:t>
      </w:r>
      <w:r>
        <w:t xml:space="preserve"> </w:t>
      </w:r>
      <w:r>
        <w:t xml:space="preserve">twin.</w:t>
      </w:r>
    </w:p>
    <w:p>
      <w:pPr>
        <w:pStyle w:val="Compact"/>
        <w:numPr>
          <w:ilvl w:val="0"/>
          <w:numId w:val="1002"/>
        </w:numPr>
      </w:pPr>
      <w:r>
        <w:rPr>
          <w:b/>
          <w:bCs/>
        </w:rPr>
        <w:t xml:space="preserve">Compare the real count with the twins’ distribution</w:t>
      </w:r>
      <w:r>
        <w:t xml:space="preserve"> </w:t>
      </w:r>
      <w:r>
        <w:t xml:space="preserve">(</w:t>
      </w:r>
      <w:r>
        <w:rPr>
          <w:rStyle w:val="VerbatimChar"/>
        </w:rPr>
        <w:t xml:space="preserve">matched_null_test()</w:t>
      </w:r>
      <w:r>
        <w:t xml:space="preserve">), always at</w:t>
      </w:r>
      <w:r>
        <w:t xml:space="preserve"> </w:t>
      </w:r>
      <w:r>
        <w:t xml:space="preserve">a matched sample size: selected counts grow with</w:t>
      </w:r>
      <w:r>
        <w:t xml:space="preserve"> </w:t>
      </w:r>
      <m:oMath>
        <m:r>
          <m:t>n</m:t>
        </m:r>
      </m:oMath>
      <w:r>
        <w:t xml:space="preserve">, so real data and null must be compared</w:t>
      </w:r>
      <w:r>
        <w:t xml:space="preserve"> </w:t>
      </w:r>
      <w:r>
        <w:t xml:space="preserve">at the same</w:t>
      </w:r>
      <w:r>
        <w:t xml:space="preserve"> </w:t>
      </w:r>
      <m:oMath>
        <m:r>
          <m:t>n</m:t>
        </m:r>
      </m:oMath>
      <w:r>
        <w:t xml:space="preserve">.</w:t>
      </w:r>
    </w:p>
    <w:p>
      <w:pPr>
        <w:pStyle w:val="Compact"/>
        <w:numPr>
          <w:ilvl w:val="0"/>
          <w:numId w:val="1002"/>
        </w:numPr>
      </w:pPr>
      <w:r>
        <w:rPr>
          <w:b/>
          <w:bCs/>
        </w:rPr>
        <w:t xml:space="preserve">Read the categorical signatures</w:t>
      </w:r>
      <w:r>
        <w:t xml:space="preserve"> </w:t>
      </w:r>
      <w:r>
        <w:t xml:space="preserve">of the selected solution: the share of respondents</w:t>
      </w:r>
      <w:r>
        <w:t xml:space="preserve"> </w:t>
      </w:r>
      <w:r>
        <w:t xml:space="preserve">assigned to a component with high posterior confidence, the share of the fit improvement</w:t>
      </w:r>
      <w:r>
        <w:t xml:space="preserve"> </w:t>
      </w:r>
      <w:r>
        <w:t xml:space="preserve">carried by the first split, and, where several indicators of one construct are available,</w:t>
      </w:r>
      <w:r>
        <w:t xml:space="preserve"> </w:t>
      </w:r>
      <w:r>
        <w:t xml:space="preserve">the taxometric Comparison Curve Fit Index</w:t>
      </w:r>
      <w:r>
        <w:t xml:space="preserve"> </w:t>
      </w:r>
      <w:r>
        <w:t xml:space="preserve">(Ruscio et al., 2006)</w:t>
      </w:r>
      <w:r>
        <w:t xml:space="preserve"> </w:t>
      </w:r>
      <w:r>
        <w:t xml:space="preserve">through RTaxometrics</w:t>
      </w:r>
      <w:r>
        <w:t xml:space="preserve"> </w:t>
      </w:r>
      <w:r>
        <w:t xml:space="preserve">(Ruscio, 2023)</w:t>
      </w:r>
      <w:r>
        <w:t xml:space="preserve">.</w:t>
      </w:r>
      <w:r>
        <w:t xml:space="preserve"> </w:t>
      </w:r>
      <w:r>
        <w:t xml:space="preserve">A higher count is not the same as categories; these signatures are what separate the two.</w:t>
      </w:r>
    </w:p>
    <w:p>
      <w:pPr>
        <w:pStyle w:val="FirstParagraph"/>
      </w:pPr>
      <w:r>
        <w:t xml:space="preserve">In code, the two steps that bracket the count test:</w:t>
      </w:r>
    </w:p>
    <w:p>
      <w:pPr>
        <w:pStyle w:val="SourceCode"/>
      </w:pPr>
      <w:r>
        <w:rPr>
          <w:rStyle w:val="CommentTok"/>
        </w:rPr>
        <w:t xml:space="preserve"># Step 1: margins first. Tie-break granular scales, then a formal test.</w:t>
      </w:r>
      <w:r>
        <w:br/>
      </w:r>
      <w:r>
        <w:rPr>
          <w:rStyle w:val="FunctionTok"/>
        </w:rPr>
        <w:t xml:space="preserve">apply</w:t>
      </w:r>
      <w:r>
        <w:rPr>
          <w:rStyle w:val="NormalTok"/>
        </w:rPr>
        <w:t xml:space="preserve">(x, </w:t>
      </w:r>
      <w:r>
        <w:rPr>
          <w:rStyle w:val="DecValTok"/>
        </w:rPr>
        <w:t xml:space="preserve">2</w:t>
      </w:r>
      <w:r>
        <w:rPr>
          <w:rStyle w:val="NormalTok"/>
        </w:rPr>
        <w:t xml:space="preserve">, </w:t>
      </w:r>
      <w:r>
        <w:rPr>
          <w:rStyle w:val="ControlFlowTok"/>
        </w:rPr>
        <w:t xml:space="preserve">function</w:t>
      </w:r>
      <w:r>
        <w:rPr>
          <w:rStyle w:val="NormalTok"/>
        </w:rPr>
        <w:t xml:space="preserve">(v) diptest</w:t>
      </w:r>
      <w:r>
        <w:rPr>
          <w:rStyle w:val="SpecialCharTok"/>
        </w:rPr>
        <w:t xml:space="preserve">::</w:t>
      </w:r>
      <w:r>
        <w:rPr>
          <w:rStyle w:val="FunctionTok"/>
        </w:rPr>
        <w:t xml:space="preserve">dip.test</w:t>
      </w:r>
      <w:r>
        <w:rPr>
          <w:rStyle w:val="NormalTok"/>
        </w:rPr>
        <w:t xml:space="preserve">(</w:t>
      </w:r>
      <w:r>
        <w:rPr>
          <w:rStyle w:val="FunctionTok"/>
        </w:rPr>
        <w:t xml:space="preserve">jitter</w:t>
      </w:r>
      <w:r>
        <w:rPr>
          <w:rStyle w:val="NormalTok"/>
        </w:rPr>
        <w:t xml:space="preserve">(v, </w:t>
      </w:r>
      <w:r>
        <w:rPr>
          <w:rStyle w:val="AttributeTok"/>
        </w:rPr>
        <w:t xml:space="preserve">amount =</w:t>
      </w:r>
      <w:r>
        <w:rPr>
          <w:rStyle w:val="NormalTok"/>
        </w:rPr>
        <w:t xml:space="preserve"> .</w:t>
      </w:r>
      <w:r>
        <w:rPr>
          <w:rStyle w:val="DecValTok"/>
        </w:rPr>
        <w:t xml:space="preserve">5</w:t>
      </w:r>
      <w:r>
        <w:rPr>
          <w:rStyle w:val="NormalTok"/>
        </w:rPr>
        <w:t xml:space="preserve">))</w:t>
      </w:r>
      <w:r>
        <w:rPr>
          <w:rStyle w:val="SpecialCharTok"/>
        </w:rPr>
        <w:t xml:space="preserve">$</w:t>
      </w:r>
      <w:r>
        <w:rPr>
          <w:rStyle w:val="NormalTok"/>
        </w:rPr>
        <w:t xml:space="preserve">p.value)</w:t>
      </w:r>
      <w:r>
        <w:br/>
      </w:r>
      <w:r>
        <w:br/>
      </w:r>
      <w:r>
        <w:rPr>
          <w:rStyle w:val="CommentTok"/>
        </w:rPr>
        <w:t xml:space="preserve"># Step 5: categorical signatures, where several indicators of one</w:t>
      </w:r>
      <w:r>
        <w:br/>
      </w:r>
      <w:r>
        <w:rPr>
          <w:rStyle w:val="CommentTok"/>
        </w:rPr>
        <w:t xml:space="preserve"># construct are available (here, the facets of one trait).</w:t>
      </w:r>
      <w:r>
        <w:br/>
      </w:r>
      <w:r>
        <w:rPr>
          <w:rStyle w:val="NormalTok"/>
        </w:rPr>
        <w:t xml:space="preserve">RTaxometrics</w:t>
      </w:r>
      <w:r>
        <w:rPr>
          <w:rStyle w:val="SpecialCharTok"/>
        </w:rPr>
        <w:t xml:space="preserve">::</w:t>
      </w:r>
      <w:r>
        <w:rPr>
          <w:rStyle w:val="FunctionTok"/>
        </w:rPr>
        <w:t xml:space="preserve">RunCCFIProfile</w:t>
      </w:r>
      <w:r>
        <w:rPr>
          <w:rStyle w:val="NormalTok"/>
        </w:rPr>
        <w:t xml:space="preserve">(</w:t>
      </w:r>
      <w:r>
        <w:rPr>
          <w:rStyle w:val="FunctionTok"/>
        </w:rPr>
        <w:t xml:space="preserve">as.data.frame</w:t>
      </w:r>
      <w:r>
        <w:rPr>
          <w:rStyle w:val="NormalTok"/>
        </w:rPr>
        <w:t xml:space="preserve">(x_facets), </w:t>
      </w:r>
      <w:r>
        <w:rPr>
          <w:rStyle w:val="AttributeTok"/>
        </w:rPr>
        <w:t xml:space="preserve">num.p =</w:t>
      </w:r>
      <w:r>
        <w:rPr>
          <w:rStyle w:val="NormalTok"/>
        </w:rPr>
        <w:t xml:space="preserve"> </w:t>
      </w:r>
      <w:r>
        <w:rPr>
          <w:rStyle w:val="DecValTok"/>
        </w:rPr>
        <w:t xml:space="preserve">11</w:t>
      </w:r>
      <w:r>
        <w:rPr>
          <w:rStyle w:val="NormalTok"/>
        </w:rPr>
        <w:t xml:space="preserve">,</w:t>
      </w:r>
      <w:r>
        <w:br/>
      </w:r>
      <w:r>
        <w:rPr>
          <w:rStyle w:val="NormalTok"/>
        </w:rPr>
        <w:t xml:space="preserve">                             </w:t>
      </w:r>
      <w:r>
        <w:rPr>
          <w:rStyle w:val="AttributeTok"/>
        </w:rPr>
        <w:t xml:space="preserve">n.pop =</w:t>
      </w:r>
      <w:r>
        <w:rPr>
          <w:rStyle w:val="NormalTok"/>
        </w:rPr>
        <w:t xml:space="preserve"> </w:t>
      </w:r>
      <w:r>
        <w:rPr>
          <w:rStyle w:val="DecValTok"/>
        </w:rPr>
        <w:t xml:space="preserve">5000</w:t>
      </w:r>
      <w:r>
        <w:rPr>
          <w:rStyle w:val="NormalTok"/>
        </w:rPr>
        <w:t xml:space="preserve">, </w:t>
      </w:r>
      <w:r>
        <w:rPr>
          <w:rStyle w:val="AttributeTok"/>
        </w:rPr>
        <w:t xml:space="preserve">n.samples =</w:t>
      </w:r>
      <w:r>
        <w:rPr>
          <w:rStyle w:val="NormalTok"/>
        </w:rPr>
        <w:t xml:space="preserve"> </w:t>
      </w:r>
      <w:r>
        <w:rPr>
          <w:rStyle w:val="DecValTok"/>
        </w:rPr>
        <w:t xml:space="preserve">18</w:t>
      </w:r>
      <w:r>
        <w:rPr>
          <w:rStyle w:val="NormalTok"/>
        </w:rPr>
        <w:t xml:space="preserve">, </w:t>
      </w:r>
      <w:r>
        <w:rPr>
          <w:rStyle w:val="AttributeTok"/>
        </w:rPr>
        <w:t xml:space="preserve">graph =</w:t>
      </w:r>
      <w:r>
        <w:rPr>
          <w:rStyle w:val="NormalTok"/>
        </w:rPr>
        <w:t xml:space="preserve"> </w:t>
      </w:r>
      <w:r>
        <w:rPr>
          <w:rStyle w:val="DecValTok"/>
        </w:rPr>
        <w:t xml:space="preserve">0</w:t>
      </w:r>
      <w:r>
        <w:rPr>
          <w:rStyle w:val="NormalTok"/>
        </w:rPr>
        <w:t xml:space="preserve">)</w:t>
      </w:r>
    </w:p>
    <w:p>
      <w:pPr>
        <w:pStyle w:val="FirstParagraph"/>
      </w:pPr>
      <w:r>
        <w:t xml:space="preserve">Reproducibility is deliberately left to the caller: set a seed before calling.</w:t>
      </w:r>
    </w:p>
    <w:bookmarkEnd w:id="19"/>
    <w:bookmarkEnd w:id="20"/>
    <w:bookmarkStart w:id="28" w:name="does-the-test-work"/>
    <w:p>
      <w:pPr>
        <w:pStyle w:val="Heading1"/>
      </w:pPr>
      <w:r>
        <w:t xml:space="preserve">Does the test work?</w:t>
      </w:r>
    </w:p>
    <w:p>
      <w:pPr>
        <w:pStyle w:val="FirstParagraph"/>
      </w:pPr>
      <w:r>
        <w:t xml:space="preserve">A null result means nothing unless the test detects types that are genuinely present, and a</w:t>
      </w:r>
      <w:r>
        <w:t xml:space="preserve"> </w:t>
      </w:r>
      <w:r>
        <w:t xml:space="preserve">detection means nothing if the test also fires on data with no types. Both directions were</w:t>
      </w:r>
      <w:r>
        <w:t xml:space="preserve"> </w:t>
      </w:r>
      <w:r>
        <w:t xml:space="preserve">checked, with the same fourteen-model Gaussian-mixture pipeline used in the worked example</w:t>
      </w:r>
      <w:r>
        <w:t xml:space="preserve"> </w:t>
      </w:r>
      <w:r>
        <w:t xml:space="preserve">below (fit with mclust;</w:t>
      </w:r>
      <w:r>
        <w:t xml:space="preserve"> </w:t>
      </w:r>
      <w:r>
        <w:t xml:space="preserve">Scrucca et al. (2016)</w:t>
      </w:r>
      <w:r>
        <w:t xml:space="preserve">).</w:t>
      </w:r>
    </w:p>
    <w:bookmarkStart w:id="25" w:name="X9fd7f6e1af21f05850417c06ba8aa5e4acd7e78"/>
    <w:p>
      <w:pPr>
        <w:pStyle w:val="Heading2"/>
      </w:pPr>
      <w:r>
        <w:t xml:space="preserve">It detects real types, including invisible ones</w:t>
      </w:r>
    </w:p>
    <w:p>
      <w:pPr>
        <w:pStyle w:val="FirstParagraph"/>
      </w:pPr>
      <w:r>
        <w:t xml:space="preserve">Two regimes of synthetic data with known structure (five variables, 4,000 cases, forty nulls</w:t>
      </w:r>
      <w:r>
        <w:t xml:space="preserve"> </w:t>
      </w:r>
      <w:r>
        <w:t xml:space="preserve">per setting;</w:t>
      </w:r>
      <w:r>
        <w:t xml:space="preserve"> </w:t>
      </w:r>
      <w:hyperlink w:anchor="fig-pc">
        <w:r>
          <w:rPr>
            <w:rStyle w:val="Hyperlink"/>
          </w:rPr>
          <w:t xml:space="preserve">Figure 1</w:t>
        </w:r>
      </w:hyperlink>
      <w:r>
        <w:t xml:space="preserve">). In the dependence regime, two components share identical standard-normal</w:t>
      </w:r>
      <w:r>
        <w:t xml:space="preserve"> </w:t>
      </w:r>
      <w:r>
        <w:t xml:space="preserve">margins on every variable and differ only in the sign of their within-pair correlations, so the</w:t>
      </w:r>
      <w:r>
        <w:t xml:space="preserve"> </w:t>
      </w:r>
      <w:r>
        <w:t xml:space="preserve">type signal lives entirely in the joint structure and nothing leaks into the histograms. The</w:t>
      </w:r>
      <w:r>
        <w:t xml:space="preserve"> </w:t>
      </w:r>
      <w:r>
        <w:t xml:space="preserve">test detects this kind, increasingly with signal strength: as the correlation difference grows,</w:t>
      </w:r>
      <w:r>
        <w:t xml:space="preserve"> </w:t>
      </w:r>
      <w:r>
        <w:t xml:space="preserve">the real median count separates from the null, rising from one to two and beyond, while the</w:t>
      </w:r>
      <w:r>
        <w:t xml:space="preserve"> </w:t>
      </w:r>
      <w:r>
        <w:t xml:space="preserve">null median stays at one. This regime matters because a central form of the type hypothesis,</w:t>
      </w:r>
      <w:r>
        <w:t xml:space="preserve"> </w:t>
      </w:r>
      <w:r>
        <w:t xml:space="preserve">types that differ in the configuration of traits rather than the level of any one, produces</w:t>
      </w:r>
      <w:r>
        <w:t xml:space="preserve"> </w:t>
      </w:r>
      <w:r>
        <w:t xml:space="preserve">exactly this structure.</w:t>
      </w:r>
    </w:p>
    <w:p>
      <w:pPr>
        <w:pStyle w:val="BodyText"/>
      </w:pPr>
      <w:r>
        <w:t xml:space="preserve">In the separation regime, components differ in their means, so the separation enters the</w:t>
      </w:r>
      <w:r>
        <w:t xml:space="preserve"> </w:t>
      </w:r>
      <w:r>
        <w:t xml:space="preserve">histograms. At moderate separations the test detects the structure; at the largest separation</w:t>
      </w:r>
      <w:r>
        <w:t xml:space="preserve"> </w:t>
      </w:r>
      <w:r>
        <w:t xml:space="preserve">tested, three standard deviations, it does not, because a separation that large is carried</w:t>
      </w:r>
      <w:r>
        <w:t xml:space="preserve"> </w:t>
      </w:r>
      <w:r>
        <w:t xml:space="preserve">entirely by the margins and covariance, which the null preserves. That boundary is real and is</w:t>
      </w:r>
      <w:r>
        <w:t xml:space="preserve"> </w:t>
      </w:r>
      <w:r>
        <w:t xml:space="preserve">discussed in the final section; the workflow’s first step exists precisely because of it.</w:t>
      </w:r>
    </w:p>
    <w:tbl>
      <w:tblPr>
        <w:tblStyle w:val="Table"/>
        <w:tblW w:type="pct" w:w="5000"/>
        <w:tblLayout w:type="fixed"/>
        <w:tblLook w:firstRow="0" w:lastRow="0" w:firstColumn="0" w:lastColumn="0" w:noHBand="0" w:noVBand="0" w:val="0000"/>
      </w:tblPr>
      <w:tblGrid>
        <w:gridCol w:w="7920"/>
      </w:tblGrid>
      <w:tr>
        <w:tc>
          <w:tcPr/>
          <w:bookmarkStart w:id="24" w:name="fig-pc"/>
          <w:p>
            <w:pPr>
              <w:pStyle w:val="Compact"/>
              <w:jc w:val="center"/>
            </w:pPr>
            <w:r>
              <w:drawing>
                <wp:inline>
                  <wp:extent cx="5067300" cy="2589953"/>
                  <wp:effectExtent b="0" l="0" r="0" t="0"/>
                  <wp:docPr descr="" title="" id="22" name="Picture"/>
                  <a:graphic>
                    <a:graphicData uri="http://schemas.openxmlformats.org/drawingml/2006/picture">
                      <pic:pic>
                        <pic:nvPicPr>
                          <pic:cNvPr descr="../figures/fig3_positive_control.png" id="23" name="Picture"/>
                          <pic:cNvPicPr>
                            <a:picLocks noChangeArrowheads="1" noChangeAspect="1"/>
                          </pic:cNvPicPr>
                        </pic:nvPicPr>
                        <pic:blipFill>
                          <a:blip r:embed="rId21"/>
                          <a:stretch>
                            <a:fillRect/>
                          </a:stretch>
                        </pic:blipFill>
                        <pic:spPr bwMode="auto">
                          <a:xfrm>
                            <a:off x="0" y="0"/>
                            <a:ext cx="5067300" cy="2589953"/>
                          </a:xfrm>
                          <a:prstGeom prst="rect">
                            <a:avLst/>
                          </a:prstGeom>
                          <a:noFill/>
                          <a:ln w="9525">
                            <a:noFill/>
                            <a:headEnd/>
                            <a:tailEnd/>
                          </a:ln>
                        </pic:spPr>
                      </pic:pic>
                    </a:graphicData>
                  </a:graphic>
                </wp:inline>
              </w:drawing>
            </w:r>
          </w:p>
          <w:p>
            <w:pPr>
              <w:jc w:val="center"/>
            </w:pPr>
            <w:pPr>
              <w:jc w:val="left"/>
              <w:spacing w:before="200"/>
              <w:pStyle w:val="ImageCaption"/>
            </w:pPr>
            <w:r>
              <w:t xml:space="preserve">Figure 1: Positive controls on synthetic data with known structure. Grey band: the 95% interval of the matched-null median count. Points: the real median count, red where it exceeds the null. Left: types defined only by dependence (identical margins, opposite correlation orientation) are detected, increasingly so with signal strength. Right: types separated in their means are detected at moderate separation and are reproduced by the null only at the largest separation, where the separation is fully carried by the margins and covariance the null preserves.</w:t>
            </w:r>
          </w:p>
          <w:bookmarkEnd w:id="24"/>
        </w:tc>
      </w:tr>
    </w:tbl>
    <w:bookmarkEnd w:id="25"/>
    <w:bookmarkStart w:id="26" w:name="X6eba655c60fb76b9e7d252937cdb7ccc42c6fc9"/>
    <w:p>
      <w:pPr>
        <w:pStyle w:val="Heading2"/>
      </w:pPr>
      <w:r>
        <w:t xml:space="preserve">It stays quiet where standard tools do not</w:t>
      </w:r>
    </w:p>
    <w:p>
      <w:pPr>
        <w:pStyle w:val="FirstParagraph"/>
      </w:pPr>
      <w:r>
        <w:t xml:space="preserve">The sharper check is calibration on typeless data, in the regime known to break standard</w:t>
      </w:r>
      <w:r>
        <w:t xml:space="preserve"> </w:t>
      </w:r>
      <w:r>
        <w:t xml:space="preserve">criteria: non-normal margins</w:t>
      </w:r>
      <w:r>
        <w:t xml:space="preserve"> </w:t>
      </w:r>
      <w:r>
        <w:t xml:space="preserve">(Bauer &amp; Curran, 2003)</w:t>
      </w:r>
      <w:r>
        <w:t xml:space="preserve">. One hundred datasets were drawn from a Gaussian with</w:t>
      </w:r>
      <w:r>
        <w:t xml:space="preserve"> </w:t>
      </w:r>
      <w:r>
        <w:t xml:space="preserve">the correlation matrix of real personality data, and one hundred more with the same Gaussian</w:t>
      </w:r>
      <w:r>
        <w:t xml:space="preserve"> </w:t>
      </w:r>
      <w:r>
        <w:t xml:space="preserve">copula but skewed margins (chi-square, beta, and squared-uniform transforms). No types exist in</w:t>
      </w:r>
      <w:r>
        <w:t xml:space="preserve"> </w:t>
      </w:r>
      <w:r>
        <w:t xml:space="preserve">either set.</w:t>
      </w:r>
    </w:p>
    <w:p>
      <w:pPr>
        <w:pStyle w:val="BodyText"/>
      </w:pPr>
      <w:r>
        <w:rPr>
          <w:b/>
          <w:bCs/>
        </w:rPr>
        <w:t xml:space="preserve">Table 1.</w:t>
      </w:r>
      <w:r>
        <w:t xml:space="preserve"> </w:t>
      </w:r>
      <w:r>
        <w:t xml:space="preserve">False-positive calibration on typeless data (100 datasets per row). The test fires when the real fourteen-model median exceeds the nulls’ 97.5th percentile, the upper end of the 95% interval. Table S5 reports the full calibration ladder, adding the gap statistic and the non-Gaussian-dependence scenarios.</w:t>
      </w:r>
    </w:p>
    <w:tbl>
      <w:tblPr>
        <w:tblStyle w:val="Table"/>
        <w:tblW w:type="pct" w:w="5000"/>
        <w:tblLayout w:type="fixed"/>
        <w:tblLook w:firstRow="1" w:lastRow="0" w:firstColumn="0" w:lastColumn="0" w:noHBand="0" w:noVBand="0" w:val="0020"/>
      </w:tblPr>
      <w:tblGrid>
        <w:gridCol w:w="1250"/>
        <w:gridCol w:w="1667"/>
        <w:gridCol w:w="1667"/>
        <w:gridCol w:w="1667"/>
        <w:gridCol w:w="1667"/>
      </w:tblGrid>
      <w:tr>
        <w:trPr>
          <w:tblHeader w:val="on"/>
        </w:trPr>
        <w:tc>
          <w:tcPr/>
          <w:p>
            <w:pPr>
              <w:pStyle w:val="Compact"/>
              <w:jc w:val="left"/>
            </w:pPr>
            <w:r>
              <w:t xml:space="preserve">Scenario (typeless)</w:t>
            </w:r>
          </w:p>
        </w:tc>
        <w:tc>
          <w:tcPr/>
          <w:p>
            <w:pPr>
              <w:pStyle w:val="Compact"/>
              <w:jc w:val="center"/>
            </w:pPr>
            <w:r>
              <w:t xml:space="preserve">Matched-null test fired</w:t>
            </w:r>
          </w:p>
        </w:tc>
        <w:tc>
          <w:tcPr/>
          <w:p>
            <w:pPr>
              <w:pStyle w:val="Compact"/>
              <w:jc w:val="center"/>
            </w:pPr>
            <w:r>
              <w:t xml:space="preserve">BIC selects k &gt; 1</w:t>
            </w:r>
          </w:p>
        </w:tc>
        <w:tc>
          <w:tcPr/>
          <w:p>
            <w:pPr>
              <w:pStyle w:val="Compact"/>
              <w:jc w:val="center"/>
            </w:pPr>
            <w:r>
              <w:t xml:space="preserve">Mean BIC k</w:t>
            </w:r>
          </w:p>
        </w:tc>
        <w:tc>
          <w:tcPr/>
          <w:p>
            <w:pPr>
              <w:pStyle w:val="Compact"/>
              <w:jc w:val="center"/>
            </w:pPr>
            <w:r>
              <w:t xml:space="preserve">bLRT selects k &gt; 1</w:t>
            </w:r>
          </w:p>
        </w:tc>
      </w:tr>
      <w:tr>
        <w:tc>
          <w:tcPr/>
          <w:p>
            <w:pPr>
              <w:pStyle w:val="Compact"/>
              <w:jc w:val="left"/>
            </w:pPr>
            <w:r>
              <w:t xml:space="preserve">Gaussian margins</w:t>
            </w:r>
          </w:p>
        </w:tc>
        <w:tc>
          <w:tcPr/>
          <w:p>
            <w:pPr>
              <w:pStyle w:val="Compact"/>
              <w:jc w:val="center"/>
            </w:pPr>
            <w:r>
              <w:t xml:space="preserve">0%</w:t>
            </w:r>
          </w:p>
        </w:tc>
        <w:tc>
          <w:tcPr/>
          <w:p>
            <w:pPr>
              <w:pStyle w:val="Compact"/>
              <w:jc w:val="center"/>
            </w:pPr>
            <w:r>
              <w:t xml:space="preserve">0%</w:t>
            </w:r>
          </w:p>
        </w:tc>
        <w:tc>
          <w:tcPr/>
          <w:p>
            <w:pPr>
              <w:pStyle w:val="Compact"/>
              <w:jc w:val="center"/>
            </w:pPr>
            <w:r>
              <w:t xml:space="preserve">1.0</w:t>
            </w:r>
          </w:p>
        </w:tc>
        <w:tc>
          <w:tcPr/>
          <w:p>
            <w:pPr>
              <w:pStyle w:val="Compact"/>
              <w:jc w:val="center"/>
            </w:pPr>
            <w:r>
              <w:t xml:space="preserve">0%</w:t>
            </w:r>
          </w:p>
        </w:tc>
      </w:tr>
      <w:tr>
        <w:tc>
          <w:tcPr/>
          <w:p>
            <w:pPr>
              <w:pStyle w:val="Compact"/>
              <w:jc w:val="left"/>
            </w:pPr>
            <w:r>
              <w:t xml:space="preserve">Skewed margins</w:t>
            </w:r>
          </w:p>
        </w:tc>
        <w:tc>
          <w:tcPr/>
          <w:p>
            <w:pPr>
              <w:pStyle w:val="Compact"/>
              <w:jc w:val="center"/>
            </w:pPr>
            <w:r>
              <w:t xml:space="preserve">0%</w:t>
            </w:r>
          </w:p>
        </w:tc>
        <w:tc>
          <w:tcPr/>
          <w:p>
            <w:pPr>
              <w:pStyle w:val="Compact"/>
              <w:jc w:val="center"/>
            </w:pPr>
            <w:r>
              <w:rPr>
                <w:b/>
                <w:bCs/>
              </w:rPr>
              <w:t xml:space="preserve">100%</w:t>
            </w:r>
          </w:p>
        </w:tc>
        <w:tc>
          <w:tcPr/>
          <w:p>
            <w:pPr>
              <w:pStyle w:val="Compact"/>
              <w:jc w:val="center"/>
            </w:pPr>
            <w:r>
              <w:rPr>
                <w:b/>
                <w:bCs/>
              </w:rPr>
              <w:t xml:space="preserve">9.7</w:t>
            </w:r>
          </w:p>
        </w:tc>
        <w:tc>
          <w:tcPr/>
          <w:p>
            <w:pPr>
              <w:pStyle w:val="Compact"/>
              <w:jc w:val="center"/>
            </w:pPr>
            <w:r>
              <w:rPr>
                <w:b/>
                <w:bCs/>
              </w:rPr>
              <w:t xml:space="preserve">100%</w:t>
            </w:r>
          </w:p>
        </w:tc>
      </w:tr>
    </w:tbl>
    <w:p>
      <w:pPr>
        <w:pStyle w:val="BodyText"/>
      </w:pPr>
      <w:r>
        <w:t xml:space="preserve">On the skewed but typeless data, BIC selection reported more than one component in every one</w:t>
      </w:r>
      <w:r>
        <w:t xml:space="preserve"> </w:t>
      </w:r>
      <w:r>
        <w:t xml:space="preserve">of the hundred datasets, 9.7 components on average of a possible ten, and the bootstrap</w:t>
      </w:r>
      <w:r>
        <w:t xml:space="preserve"> </w:t>
      </w:r>
      <w:r>
        <w:t xml:space="preserve">likelihood-ratio test did the same in every dataset tested. The matched-null test fired in</w:t>
      </w:r>
      <w:r>
        <w:t xml:space="preserve"> </w:t>
      </w:r>
      <w:r>
        <w:t xml:space="preserve">none. This is the failure mode that produces published</w:t>
      </w:r>
      <w:r>
        <w:t xml:space="preserve"> </w:t>
      </w:r>
      <w:r>
        <w:t xml:space="preserve">“types”</w:t>
      </w:r>
      <w:r>
        <w:t xml:space="preserve"> </w:t>
      </w:r>
      <w:r>
        <w:t xml:space="preserve">from typeless data, and the</w:t>
      </w:r>
      <w:r>
        <w:t xml:space="preserve"> </w:t>
      </w:r>
      <w:r>
        <w:t xml:space="preserve">matched null is built to absorb it: the twin inherits every skewed margin exactly, so skew</w:t>
      </w:r>
      <w:r>
        <w:t xml:space="preserve"> </w:t>
      </w:r>
      <w:r>
        <w:t xml:space="preserve">alone can no longer look like structure.</w:t>
      </w:r>
    </w:p>
    <w:bookmarkEnd w:id="26"/>
    <w:bookmarkStart w:id="27" w:name="Xa74a09a151bf4e86da05298370165bc5e681dc3"/>
    <w:p>
      <w:pPr>
        <w:pStyle w:val="Heading2"/>
      </w:pPr>
      <w:r>
        <w:t xml:space="preserve">The verdict does not depend on the engine</w:t>
      </w:r>
    </w:p>
    <w:p>
      <w:pPr>
        <w:pStyle w:val="FirstParagraph"/>
      </w:pPr>
      <w:r>
        <w:t xml:space="preserve">Because the null is data-level, the same test was run with two engines of different paradigm</w:t>
      </w:r>
      <w:r>
        <w:t xml:space="preserve"> </w:t>
      </w:r>
      <w:r>
        <w:t xml:space="preserve">and count rule on the personality data of the next section: the Gaussian mixture above, and</w:t>
      </w:r>
      <w:r>
        <w:t xml:space="preserve"> </w:t>
      </w:r>
      <w:r>
        <w:t xml:space="preserve">k-means with a gap-statistic count. The two engines report very different raw counts, as they</w:t>
      </w:r>
      <w:r>
        <w:t xml:space="preserve"> </w:t>
      </w:r>
      <w:r>
        <w:t xml:space="preserve">should, but the verdict, real count within the null, is the same for every dataset under both</w:t>
      </w:r>
      <w:r>
        <w:t xml:space="preserve"> </w:t>
      </w:r>
      <w:r>
        <w:t xml:space="preserve">(Table S3 in the supplement). The framework’s algorithm-agnostic claim is borne out in</w:t>
      </w:r>
      <w:r>
        <w:t xml:space="preserve"> </w:t>
      </w:r>
      <w:r>
        <w:t xml:space="preserve">practice, not only in principle.</w:t>
      </w:r>
    </w:p>
    <w:bookmarkEnd w:id="27"/>
    <w:bookmarkEnd w:id="28"/>
    <w:bookmarkStart w:id="37" w:name="X47c023a871507ea604f51951b5688cb2f3a2c3c"/>
    <w:p>
      <w:pPr>
        <w:pStyle w:val="Heading1"/>
      </w:pPr>
      <w:r>
        <w:t xml:space="preserve">A worked example: are there personality types?</w:t>
      </w:r>
    </w:p>
    <w:p>
      <w:pPr>
        <w:pStyle w:val="FirstParagraph"/>
      </w:pPr>
      <w:r>
        <w:t xml:space="preserve">The workflow was applied, under a preregistered decision rule and on held-out data, to three</w:t>
      </w:r>
      <w:r>
        <w:t xml:space="preserve"> </w:t>
      </w:r>
      <w:r>
        <w:t xml:space="preserve">large public personality datasets: the IPIP-NEO-120</w:t>
      </w:r>
      <w:r>
        <w:t xml:space="preserve"> </w:t>
      </w:r>
      <w:r>
        <w:t xml:space="preserve">(Johnson, 2014)</w:t>
      </w:r>
      <w:r>
        <w:t xml:space="preserve"> </w:t>
      </w:r>
      <w:r>
        <w:t xml:space="preserve">(410,376 respondents), an</w:t>
      </w:r>
      <w:r>
        <w:t xml:space="preserve"> </w:t>
      </w:r>
      <w:r>
        <w:t xml:space="preserve">IPIP fifty-item Big-Five inventory</w:t>
      </w:r>
      <w:r>
        <w:t xml:space="preserve"> </w:t>
      </w:r>
      <w:r>
        <w:t xml:space="preserve">(Goldberg, 1999)</w:t>
      </w:r>
      <w:r>
        <w:t xml:space="preserve"> </w:t>
      </w:r>
      <w:r>
        <w:t xml:space="preserve">(603,322), and the IPIP-HEXACO</w:t>
      </w:r>
      <w:r>
        <w:t xml:space="preserve"> </w:t>
      </w:r>
      <w:r>
        <w:t xml:space="preserve">(Lee &amp; Ashton, 2004)</w:t>
      </w:r>
      <w:r>
        <w:t xml:space="preserve"> </w:t>
      </w:r>
      <w:r>
        <w:t xml:space="preserve">(22,734). Dimensional structure in personality is already well established</w:t>
      </w:r>
      <w:r>
        <w:t xml:space="preserve"> </w:t>
      </w:r>
      <w:r>
        <w:t xml:space="preserve">(Haslam et al., 2012; Haslam et al., 2020)</w:t>
      </w:r>
      <w:r>
        <w:t xml:space="preserve">; the datasets serve here as a realistic, high-stakes demonstration, since the</w:t>
      </w:r>
      <w:r>
        <w:t xml:space="preserve"> </w:t>
      </w:r>
      <w:r>
        <w:t xml:space="preserve">“types”</w:t>
      </w:r>
      <w:r>
        <w:t xml:space="preserve"> </w:t>
      </w:r>
      <w:r>
        <w:t xml:space="preserve">claim was made of data exactly like these</w:t>
      </w:r>
      <w:r>
        <w:t xml:space="preserve"> </w:t>
      </w:r>
      <w:r>
        <w:t xml:space="preserve">(Gerlach et al., 2018)</w:t>
      </w:r>
      <w:r>
        <w:t xml:space="preserve">. The full analysis, including</w:t>
      </w:r>
      <w:r>
        <w:t xml:space="preserve"> </w:t>
      </w:r>
      <w:r>
        <w:t xml:space="preserve">the preregistration, seed, and code, is public (see the Open Practices Statement); this section</w:t>
      </w:r>
      <w:r>
        <w:t xml:space="preserve"> </w:t>
      </w:r>
      <w:r>
        <w:t xml:space="preserve">walks the workflow’s steps in order.</w:t>
      </w:r>
    </w:p>
    <w:p>
      <w:pPr>
        <w:pStyle w:val="BodyText"/>
      </w:pPr>
      <w:r>
        <w:rPr>
          <w:b/>
          <w:bCs/>
        </w:rPr>
        <w:t xml:space="preserve">Step 1, margins.</w:t>
      </w:r>
      <w:r>
        <w:t xml:space="preserve"> </w:t>
      </w:r>
      <w:r>
        <w:t xml:space="preserve">Unimodality tests on the raw scores reject only because summed Likert</w:t>
      </w:r>
      <w:r>
        <w:t xml:space="preserve"> </w:t>
      </w:r>
      <w:r>
        <w:t xml:space="preserve">scales are granular; after a tie-breaking jitter, 64 of the 65 trait margins retain unimodality</w:t>
      </w:r>
      <w:r>
        <w:t xml:space="preserve"> </w:t>
      </w:r>
      <w:r>
        <w:t xml:space="preserve">(Hartigan &amp; Hartigan, 1985)</w:t>
      </w:r>
      <w:r>
        <w:t xml:space="preserve">. No trait shows the pronounced multimodality that would mark strongly separated</w:t>
      </w:r>
      <w:r>
        <w:t xml:space="preserve"> </w:t>
      </w:r>
      <w:r>
        <w:t xml:space="preserve">mean-type groups, so the data sit in the regime where the count test has power.</w:t>
      </w:r>
    </w:p>
    <w:p>
      <w:pPr>
        <w:pStyle w:val="BodyText"/>
      </w:pPr>
      <w:r>
        <w:rPr>
          <w:b/>
          <w:bCs/>
        </w:rPr>
        <w:t xml:space="preserve">Steps 2 and 3, twins and pipeline.</w:t>
      </w:r>
      <w:r>
        <w:t xml:space="preserve"> </w:t>
      </w:r>
      <w:r>
        <w:t xml:space="preserve">Two hundred twins per dataset, each at the matched</w:t>
      </w:r>
      <w:r>
        <w:t xml:space="preserve"> </w:t>
      </w:r>
      <w:r>
        <w:t xml:space="preserve">sample size (8,000 cases at the domain level, 5,000 at the facet level). The pipeline is the</w:t>
      </w:r>
      <w:r>
        <w:t xml:space="preserve"> </w:t>
      </w:r>
      <w:r>
        <w:t xml:space="preserve">fourteen-parameterization Gaussian-mixture grid: mclust’s covariance codes from spherical (EII)</w:t>
      </w:r>
      <w:r>
        <w:t xml:space="preserve"> </w:t>
      </w:r>
      <w:r>
        <w:t xml:space="preserve">to fully ellipsoidal (VVV), one to ten components, count selected by BIC, summarized by the</w:t>
      </w:r>
      <w:r>
        <w:t xml:space="preserve"> </w:t>
      </w:r>
      <w:r>
        <w:t xml:space="preserve">preregistered median across the fourteen.</w:t>
      </w:r>
    </w:p>
    <w:p>
      <w:pPr>
        <w:pStyle w:val="BodyText"/>
      </w:pPr>
      <w:r>
        <w:t xml:space="preserve">The grid itself answers a first question: how much of a reported count is the analyst’s</w:t>
      </w:r>
      <w:r>
        <w:t xml:space="preserve"> </w:t>
      </w:r>
      <w:r>
        <w:t xml:space="preserve">covariance assumption? All of it can be. The selected count ran from two to ten in the NEO-120</w:t>
      </w:r>
      <w:r>
        <w:t xml:space="preserve"> </w:t>
      </w:r>
      <w:r>
        <w:t xml:space="preserve">domains and across the full range, one to ten, in its thirty facets (</w:t>
      </w:r>
      <w:hyperlink w:anchor="fig-spec">
        <w:r>
          <w:rPr>
            <w:rStyle w:val="Hyperlink"/>
          </w:rPr>
          <w:t xml:space="preserve">Figure 2</w:t>
        </w:r>
      </w:hyperlink>
      <w:r>
        <w:t xml:space="preserve">; Table S1).</w:t>
      </w:r>
      <w:r>
        <w:t xml:space="preserve"> </w:t>
      </w:r>
      <w:r>
        <w:t xml:space="preserve">Constrained parameterizations pile up components to approximate a correlated continuous cloud;</w:t>
      </w:r>
      <w:r>
        <w:t xml:space="preserve"> </w:t>
      </w:r>
      <w:r>
        <w:t xml:space="preserve">flexible ones absorb the same cloud into one or two. A setting that encodes no claim about</w:t>
      </w:r>
      <w:r>
        <w:t xml:space="preserve"> </w:t>
      </w:r>
      <w:r>
        <w:t xml:space="preserve">respondents moves the answer across nearly the entire reportable range.</w:t>
      </w:r>
    </w:p>
    <w:tbl>
      <w:tblPr>
        <w:tblStyle w:val="Table"/>
        <w:tblW w:type="pct" w:w="5000"/>
        <w:tblLayout w:type="fixed"/>
        <w:tblLook w:firstRow="0" w:lastRow="0" w:firstColumn="0" w:lastColumn="0" w:noHBand="0" w:noVBand="0" w:val="0000"/>
      </w:tblPr>
      <w:tblGrid>
        <w:gridCol w:w="7920"/>
      </w:tblGrid>
      <w:tr>
        <w:tc>
          <w:tcPr/>
          <w:bookmarkStart w:id="32" w:name="fig-spec"/>
          <w:p>
            <w:pPr>
              <w:pStyle w:val="Compact"/>
              <w:jc w:val="center"/>
            </w:pPr>
            <w:r>
              <w:drawing>
                <wp:inline>
                  <wp:extent cx="5067300" cy="5911850"/>
                  <wp:effectExtent b="0" l="0" r="0" t="0"/>
                  <wp:docPr descr="" title="" id="30" name="Picture"/>
                  <a:graphic>
                    <a:graphicData uri="http://schemas.openxmlformats.org/drawingml/2006/picture">
                      <pic:pic>
                        <pic:nvPicPr>
                          <pic:cNvPr descr="../figures/fig1_spec_curve_null_median.png" id="31" name="Picture"/>
                          <pic:cNvPicPr>
                            <a:picLocks noChangeArrowheads="1" noChangeAspect="1"/>
                          </pic:cNvPicPr>
                        </pic:nvPicPr>
                        <pic:blipFill>
                          <a:blip r:embed="rId29"/>
                          <a:stretch>
                            <a:fillRect/>
                          </a:stretch>
                        </pic:blipFill>
                        <pic:spPr bwMode="auto">
                          <a:xfrm>
                            <a:off x="0" y="0"/>
                            <a:ext cx="5067300" cy="5911850"/>
                          </a:xfrm>
                          <a:prstGeom prst="rect">
                            <a:avLst/>
                          </a:prstGeom>
                          <a:noFill/>
                          <a:ln w="9525">
                            <a:noFill/>
                            <a:headEnd/>
                            <a:tailEnd/>
                          </a:ln>
                        </pic:spPr>
                      </pic:pic>
                    </a:graphicData>
                  </a:graphic>
                </wp:inline>
              </w:drawing>
            </w:r>
          </w:p>
          <w:p>
            <w:pPr>
              <w:jc w:val="center"/>
            </w:pPr>
            <w:pPr>
              <w:jc w:val="left"/>
              <w:spacing w:before="200"/>
              <w:pStyle w:val="ImageCaption"/>
            </w:pPr>
            <w:r>
              <w:t xml:space="preserve">Figure 2: The BIC-selected number of mixture components (</w:t>
            </w:r>
            <w:r>
              <w:t xml:space="preserve">“types”</w:t>
            </w:r>
            <w:r>
              <w:t xml:space="preserve">) across the fourteen covariance parameterizations, on held-out data at the matched sample size. Each point is one parameterization, colored and shaped by covariance family and sorted by selected count. The grey band marks the 95% interval of the matched-null median count; the dashed line is the real median. A real median inside the band indicates a typical count indistinguishable from data with no latent types.</w:t>
            </w:r>
          </w:p>
          <w:bookmarkEnd w:id="32"/>
        </w:tc>
      </w:tr>
    </w:tbl>
    <w:p>
      <w:pPr>
        <w:pStyle w:val="BodyText"/>
      </w:pPr>
      <w:r>
        <w:rPr>
          <w:b/>
          <w:bCs/>
        </w:rPr>
        <w:t xml:space="preserve">Step 4, the count against the null.</w:t>
      </w:r>
      <w:r>
        <w:t xml:space="preserve"> </w:t>
      </w:r>
      <w:r>
        <w:t xml:space="preserve">In all five analyses the real median falls within the</w:t>
      </w:r>
      <w:r>
        <w:t xml:space="preserve"> </w:t>
      </w:r>
      <w:r>
        <w:t xml:space="preserve">null’s 95 percent interval (Table 2). In the NEO-120 domains the real median is five components</w:t>
      </w:r>
      <w:r>
        <w:t xml:space="preserve"> </w:t>
      </w:r>
      <w:r>
        <w:t xml:space="preserve">against a null interval of [4.0, 7.0]; the same holds everywhere (one-sided Monte Carlo p from</w:t>
      </w:r>
      <w:r>
        <w:t xml:space="preserve"> </w:t>
      </w:r>
      <w:r>
        <w:t xml:space="preserve">.11 to .80). The data do carry structure the twin cannot reproduce: the BIC improvement of the</w:t>
      </w:r>
      <w:r>
        <w:t xml:space="preserve"> </w:t>
      </w:r>
      <w:r>
        <w:t xml:space="preserve">best mixture over one component exceeds the null’s 95th percentile in every dataset (Table 2,</w:t>
      </w:r>
      <w:r>
        <w:t xml:space="preserve"> </w:t>
      </w:r>
      <m:oMath>
        <m:r>
          <m:rPr>
            <m:sty m:val="p"/>
          </m:rPr>
          <m:t>Δ</m:t>
        </m:r>
      </m:oMath>
      <w:r>
        <w:t xml:space="preserve">BIC). But that improvement certifies only non-Gaussianity, skew or mild nonlinearity or</w:t>
      </w:r>
      <w:r>
        <w:t xml:space="preserve"> </w:t>
      </w:r>
      <w:r>
        <w:t xml:space="preserve">uneven density, and it does not raise the number of types above what a typeless population</w:t>
      </w:r>
      <w:r>
        <w:t xml:space="preserve"> </w:t>
      </w:r>
      <w:r>
        <w:t xml:space="preserve">yields under the identical procedure.</w:t>
      </w:r>
    </w:p>
    <w:p>
      <w:pPr>
        <w:pStyle w:val="BodyText"/>
      </w:pPr>
      <w:r>
        <w:rPr>
          <w:b/>
          <w:bCs/>
        </w:rPr>
        <w:t xml:space="preserve">Table 2.</w:t>
      </w:r>
      <w:r>
        <w:t xml:space="preserve"> </w:t>
      </w:r>
      <w:r>
        <w:t xml:space="preserve">Real data compared with the matched null, by analysis. The clustering gain</w:t>
      </w:r>
      <w:r>
        <w:t xml:space="preserve"> </w:t>
      </w:r>
      <w:r>
        <w:t xml:space="preserve">(</w:t>
      </w:r>
      <m:oMath>
        <m:r>
          <m:rPr>
            <m:sty m:val="p"/>
          </m:rPr>
          <m:t>Δ</m:t>
        </m:r>
      </m:oMath>
      <w:r>
        <w:t xml:space="preserve">BIC of the best mixture over a single component) exceeds the null’s 95th percentile in</w:t>
      </w:r>
      <w:r>
        <w:t xml:space="preserve"> </w:t>
      </w:r>
      <w:r>
        <w:t xml:space="preserve">every analysis, so real structure beyond the linear dependence is present; the median count</w:t>
      </w:r>
      <w:r>
        <w:t xml:space="preserve"> </w:t>
      </w:r>
      <w:r>
        <w:t xml:space="preserve">lies within the null’s 95% interval in every analysis, so that structure does not raise the</w:t>
      </w:r>
      <w:r>
        <w:t xml:space="preserve"> </w:t>
      </w:r>
      <w:r>
        <w:t xml:space="preserve">number of types.</w:t>
      </w:r>
    </w:p>
    <w:tbl>
      <w:tblPr>
        <w:tblStyle w:val="Table"/>
        <w:tblW w:type="pct" w:w="5000"/>
        <w:tblLayout w:type="fixed"/>
        <w:tblLook w:firstRow="1" w:lastRow="0" w:firstColumn="0" w:lastColumn="0" w:noHBand="0" w:noVBand="0" w:val="0020"/>
      </w:tblPr>
      <w:tblGrid>
        <w:gridCol w:w="1904"/>
        <w:gridCol w:w="802"/>
        <w:gridCol w:w="1002"/>
        <w:gridCol w:w="1403"/>
        <w:gridCol w:w="601"/>
        <w:gridCol w:w="802"/>
        <w:gridCol w:w="1403"/>
      </w:tblGrid>
      <w:tr>
        <w:trPr>
          <w:tblHeader w:val="on"/>
        </w:trPr>
        <w:tc>
          <w:tcPr/>
          <w:p>
            <w:pPr>
              <w:pStyle w:val="Compact"/>
              <w:jc w:val="left"/>
            </w:pPr>
            <w:r>
              <w:t xml:space="preserve">Slice</w:t>
            </w:r>
          </w:p>
        </w:tc>
        <w:tc>
          <w:tcPr/>
          <w:p>
            <w:pPr>
              <w:pStyle w:val="Compact"/>
              <w:jc w:val="right"/>
            </w:pPr>
            <m:oMath>
              <m:r>
                <m:t>n</m:t>
              </m:r>
            </m:oMath>
          </w:p>
        </w:tc>
        <w:tc>
          <w:tcPr/>
          <w:p>
            <w:pPr>
              <w:pStyle w:val="Compact"/>
              <w:jc w:val="center"/>
            </w:pPr>
            <w:r>
              <w:t xml:space="preserve">Median</w:t>
            </w:r>
            <w:r>
              <w:t xml:space="preserve"> </w:t>
            </w:r>
            <m:oMath>
              <m:r>
                <m:t>k</m:t>
              </m:r>
            </m:oMath>
          </w:p>
        </w:tc>
        <w:tc>
          <w:tcPr/>
          <w:p>
            <w:pPr>
              <w:pStyle w:val="Compact"/>
              <w:jc w:val="center"/>
            </w:pPr>
            <w:r>
              <w:t xml:space="preserve">Null 95%</w:t>
            </w:r>
          </w:p>
        </w:tc>
        <w:tc>
          <w:tcPr/>
          <w:p>
            <w:pPr>
              <w:pStyle w:val="Compact"/>
              <w:jc w:val="center"/>
            </w:pPr>
            <w:r>
              <w:t xml:space="preserve">One-sided</w:t>
            </w:r>
            <w:r>
              <w:t xml:space="preserve"> </w:t>
            </w:r>
            <m:oMath>
              <m:r>
                <m:t>p</m:t>
              </m:r>
            </m:oMath>
          </w:p>
        </w:tc>
        <w:tc>
          <w:tcPr/>
          <w:p>
            <w:pPr>
              <w:pStyle w:val="Compact"/>
              <w:jc w:val="right"/>
            </w:pPr>
            <m:oMath>
              <m:r>
                <m:rPr>
                  <m:sty m:val="p"/>
                </m:rPr>
                <m:t>Δ</m:t>
              </m:r>
            </m:oMath>
            <w:r>
              <w:t xml:space="preserve">BIC</w:t>
            </w:r>
          </w:p>
        </w:tc>
        <w:tc>
          <w:tcPr/>
          <w:p>
            <w:pPr>
              <w:pStyle w:val="Compact"/>
              <w:jc w:val="center"/>
            </w:pPr>
            <w:r>
              <w:t xml:space="preserve">Null 95th</w:t>
            </w:r>
          </w:p>
        </w:tc>
      </w:tr>
      <w:tr>
        <w:tc>
          <w:tcPr/>
          <w:p>
            <w:pPr>
              <w:pStyle w:val="Compact"/>
              <w:jc w:val="left"/>
            </w:pPr>
            <w:r>
              <w:t xml:space="preserve">NEO-120 dom.</w:t>
            </w:r>
          </w:p>
        </w:tc>
        <w:tc>
          <w:tcPr/>
          <w:p>
            <w:pPr>
              <w:pStyle w:val="Compact"/>
              <w:jc w:val="right"/>
            </w:pPr>
            <w:r>
              <w:t xml:space="preserve">8,000</w:t>
            </w:r>
          </w:p>
        </w:tc>
        <w:tc>
          <w:tcPr/>
          <w:p>
            <w:pPr>
              <w:pStyle w:val="Compact"/>
              <w:jc w:val="center"/>
            </w:pPr>
            <w:r>
              <w:t xml:space="preserve">5</w:t>
            </w:r>
          </w:p>
        </w:tc>
        <w:tc>
          <w:tcPr/>
          <w:p>
            <w:pPr>
              <w:pStyle w:val="Compact"/>
              <w:jc w:val="center"/>
            </w:pPr>
            <w:r>
              <w:t xml:space="preserve">[4.0, 7.0]</w:t>
            </w:r>
          </w:p>
        </w:tc>
        <w:tc>
          <w:tcPr/>
          <w:p>
            <w:pPr>
              <w:pStyle w:val="Compact"/>
              <w:jc w:val="center"/>
            </w:pPr>
            <w:r>
              <w:t xml:space="preserve">.78</w:t>
            </w:r>
          </w:p>
        </w:tc>
        <w:tc>
          <w:tcPr/>
          <w:p>
            <w:pPr>
              <w:pStyle w:val="Compact"/>
              <w:jc w:val="right"/>
            </w:pPr>
            <w:r>
              <w:t xml:space="preserve">717</w:t>
            </w:r>
          </w:p>
        </w:tc>
        <w:tc>
          <w:tcPr/>
          <w:p>
            <w:pPr>
              <w:pStyle w:val="Compact"/>
              <w:jc w:val="center"/>
            </w:pPr>
            <w:r>
              <w:t xml:space="preserve">488</w:t>
            </w:r>
          </w:p>
        </w:tc>
      </w:tr>
      <w:tr>
        <w:tc>
          <w:tcPr/>
          <w:p>
            <w:pPr>
              <w:pStyle w:val="Compact"/>
              <w:jc w:val="left"/>
            </w:pPr>
            <w:r>
              <w:t xml:space="preserve">NEO-120 fac.</w:t>
            </w:r>
          </w:p>
        </w:tc>
        <w:tc>
          <w:tcPr/>
          <w:p>
            <w:pPr>
              <w:pStyle w:val="Compact"/>
              <w:jc w:val="right"/>
            </w:pPr>
            <w:r>
              <w:t xml:space="preserve">5,000</w:t>
            </w:r>
          </w:p>
        </w:tc>
        <w:tc>
          <w:tcPr/>
          <w:p>
            <w:pPr>
              <w:pStyle w:val="Compact"/>
              <w:jc w:val="center"/>
            </w:pPr>
            <w:r>
              <w:t xml:space="preserve">4</w:t>
            </w:r>
          </w:p>
        </w:tc>
        <w:tc>
          <w:tcPr/>
          <w:p>
            <w:pPr>
              <w:pStyle w:val="Compact"/>
              <w:jc w:val="center"/>
            </w:pPr>
            <w:r>
              <w:t xml:space="preserve">[3.0, 7.0]</w:t>
            </w:r>
          </w:p>
        </w:tc>
        <w:tc>
          <w:tcPr/>
          <w:p>
            <w:pPr>
              <w:pStyle w:val="Compact"/>
              <w:jc w:val="center"/>
            </w:pPr>
            <w:r>
              <w:t xml:space="preserve">.80</w:t>
            </w:r>
          </w:p>
        </w:tc>
        <w:tc>
          <w:tcPr/>
          <w:p>
            <w:pPr>
              <w:pStyle w:val="Compact"/>
              <w:jc w:val="right"/>
            </w:pPr>
            <w:r>
              <w:t xml:space="preserve">4,013</w:t>
            </w:r>
          </w:p>
        </w:tc>
        <w:tc>
          <w:tcPr/>
          <w:p>
            <w:pPr>
              <w:pStyle w:val="Compact"/>
              <w:jc w:val="center"/>
            </w:pPr>
            <w:r>
              <w:t xml:space="preserve">1,122</w:t>
            </w:r>
          </w:p>
        </w:tc>
      </w:tr>
      <w:tr>
        <w:tc>
          <w:tcPr/>
          <w:p>
            <w:pPr>
              <w:pStyle w:val="Compact"/>
              <w:jc w:val="left"/>
            </w:pPr>
            <w:r>
              <w:t xml:space="preserve">IPIP-50 dom.</w:t>
            </w:r>
          </w:p>
        </w:tc>
        <w:tc>
          <w:tcPr/>
          <w:p>
            <w:pPr>
              <w:pStyle w:val="Compact"/>
              <w:jc w:val="right"/>
            </w:pPr>
            <w:r>
              <w:t xml:space="preserve">8,000</w:t>
            </w:r>
          </w:p>
        </w:tc>
        <w:tc>
          <w:tcPr/>
          <w:p>
            <w:pPr>
              <w:pStyle w:val="Compact"/>
              <w:jc w:val="center"/>
            </w:pPr>
            <w:r>
              <w:t xml:space="preserve">8</w:t>
            </w:r>
          </w:p>
        </w:tc>
        <w:tc>
          <w:tcPr/>
          <w:p>
            <w:pPr>
              <w:pStyle w:val="Compact"/>
              <w:jc w:val="center"/>
            </w:pPr>
            <w:r>
              <w:t xml:space="preserve">[6.0, 9.0]</w:t>
            </w:r>
          </w:p>
        </w:tc>
        <w:tc>
          <w:tcPr/>
          <w:p>
            <w:pPr>
              <w:pStyle w:val="Compact"/>
              <w:jc w:val="center"/>
            </w:pPr>
            <w:r>
              <w:t xml:space="preserve">.40</w:t>
            </w:r>
          </w:p>
        </w:tc>
        <w:tc>
          <w:tcPr/>
          <w:p>
            <w:pPr>
              <w:pStyle w:val="Compact"/>
              <w:jc w:val="right"/>
            </w:pPr>
            <w:r>
              <w:t xml:space="preserve">1,369</w:t>
            </w:r>
          </w:p>
        </w:tc>
        <w:tc>
          <w:tcPr/>
          <w:p>
            <w:pPr>
              <w:pStyle w:val="Compact"/>
              <w:jc w:val="center"/>
            </w:pPr>
            <w:r>
              <w:t xml:space="preserve">915</w:t>
            </w:r>
          </w:p>
        </w:tc>
      </w:tr>
      <w:tr>
        <w:tc>
          <w:tcPr/>
          <w:p>
            <w:pPr>
              <w:pStyle w:val="Compact"/>
              <w:jc w:val="left"/>
            </w:pPr>
            <w:r>
              <w:t xml:space="preserve">HEXACO dom.</w:t>
            </w:r>
          </w:p>
        </w:tc>
        <w:tc>
          <w:tcPr/>
          <w:p>
            <w:pPr>
              <w:pStyle w:val="Compact"/>
              <w:jc w:val="right"/>
            </w:pPr>
            <w:r>
              <w:t xml:space="preserve">8,000</w:t>
            </w:r>
          </w:p>
        </w:tc>
        <w:tc>
          <w:tcPr/>
          <w:p>
            <w:pPr>
              <w:pStyle w:val="Compact"/>
              <w:jc w:val="center"/>
            </w:pPr>
            <w:r>
              <w:t xml:space="preserve">7</w:t>
            </w:r>
          </w:p>
        </w:tc>
        <w:tc>
          <w:tcPr/>
          <w:p>
            <w:pPr>
              <w:pStyle w:val="Compact"/>
              <w:jc w:val="center"/>
            </w:pPr>
            <w:r>
              <w:t xml:space="preserve">[3.5, 7.5]</w:t>
            </w:r>
          </w:p>
        </w:tc>
        <w:tc>
          <w:tcPr/>
          <w:p>
            <w:pPr>
              <w:pStyle w:val="Compact"/>
              <w:jc w:val="center"/>
            </w:pPr>
            <w:r>
              <w:t xml:space="preserve">.11</w:t>
            </w:r>
          </w:p>
        </w:tc>
        <w:tc>
          <w:tcPr/>
          <w:p>
            <w:pPr>
              <w:pStyle w:val="Compact"/>
              <w:jc w:val="right"/>
            </w:pPr>
            <w:r>
              <w:t xml:space="preserve">816</w:t>
            </w:r>
          </w:p>
        </w:tc>
        <w:tc>
          <w:tcPr/>
          <w:p>
            <w:pPr>
              <w:pStyle w:val="Compact"/>
              <w:jc w:val="center"/>
            </w:pPr>
            <w:r>
              <w:t xml:space="preserve">221</w:t>
            </w:r>
          </w:p>
        </w:tc>
      </w:tr>
      <w:tr>
        <w:tc>
          <w:tcPr/>
          <w:p>
            <w:pPr>
              <w:pStyle w:val="Compact"/>
              <w:jc w:val="left"/>
            </w:pPr>
            <w:r>
              <w:t xml:space="preserve">HEXACO fac.</w:t>
            </w:r>
          </w:p>
        </w:tc>
        <w:tc>
          <w:tcPr/>
          <w:p>
            <w:pPr>
              <w:pStyle w:val="Compact"/>
              <w:jc w:val="right"/>
            </w:pPr>
            <w:r>
              <w:t xml:space="preserve">5,000</w:t>
            </w:r>
          </w:p>
        </w:tc>
        <w:tc>
          <w:tcPr/>
          <w:p>
            <w:pPr>
              <w:pStyle w:val="Compact"/>
              <w:jc w:val="center"/>
            </w:pPr>
            <w:r>
              <w:t xml:space="preserve">4</w:t>
            </w:r>
          </w:p>
        </w:tc>
        <w:tc>
          <w:tcPr/>
          <w:p>
            <w:pPr>
              <w:pStyle w:val="Compact"/>
              <w:jc w:val="center"/>
            </w:pPr>
            <w:r>
              <w:t xml:space="preserve">[1.0, 5.5]</w:t>
            </w:r>
          </w:p>
        </w:tc>
        <w:tc>
          <w:tcPr/>
          <w:p>
            <w:pPr>
              <w:pStyle w:val="Compact"/>
              <w:jc w:val="center"/>
            </w:pPr>
            <w:r>
              <w:t xml:space="preserve">.34</w:t>
            </w:r>
          </w:p>
        </w:tc>
        <w:tc>
          <w:tcPr/>
          <w:p>
            <w:pPr>
              <w:pStyle w:val="Compact"/>
              <w:jc w:val="right"/>
            </w:pPr>
            <w:r>
              <w:t xml:space="preserve">2,701</w:t>
            </w:r>
          </w:p>
        </w:tc>
        <w:tc>
          <w:tcPr/>
          <w:p>
            <w:pPr>
              <w:pStyle w:val="Compact"/>
              <w:jc w:val="center"/>
            </w:pPr>
            <w:r>
              <w:t xml:space="preserve">344</w:t>
            </w:r>
          </w:p>
        </w:tc>
      </w:tr>
    </w:tbl>
    <w:p>
      <w:pPr>
        <w:pStyle w:val="BodyText"/>
      </w:pPr>
      <w:r>
        <w:rPr>
          <w:b/>
          <w:bCs/>
        </w:rPr>
        <w:t xml:space="preserve">Step 5, categorical signatures.</w:t>
      </w:r>
      <w:r>
        <w:t xml:space="preserve"> </w:t>
      </w:r>
      <w:r>
        <w:t xml:space="preserve">None appears. No trait’s taxometric index reaches the</w:t>
      </w:r>
      <w:r>
        <w:t xml:space="preserve"> </w:t>
      </w:r>
      <w:r>
        <w:t xml:space="preserve">categorical threshold (mean CCFI .375 across NEO-120 traits, .430 across HEXACO; highest single</w:t>
      </w:r>
      <w:r>
        <w:t xml:space="preserve"> </w:t>
      </w:r>
      <w:r>
        <w:t xml:space="preserve">trait .535, in the ambiguous band;</w:t>
      </w:r>
      <w:r>
        <w:t xml:space="preserve"> </w:t>
      </w:r>
      <w:hyperlink w:anchor="fig-ccfi">
        <w:r>
          <w:rPr>
            <w:rStyle w:val="Hyperlink"/>
          </w:rPr>
          <w:t xml:space="preserve">Figure 3</w:t>
        </w:r>
      </w:hyperlink>
      <w:r>
        <w:t xml:space="preserve">; Table S2). Under the selected solutions, fewer than half of</w:t>
      </w:r>
      <w:r>
        <w:t xml:space="preserve"> </w:t>
      </w:r>
      <w:r>
        <w:t xml:space="preserve">respondents in every dataset are assigned to any component with posterior confidence above .8,</w:t>
      </w:r>
      <w:r>
        <w:t xml:space="preserve"> </w:t>
      </w:r>
      <w:r>
        <w:t xml:space="preserve">and most of the fit improvement is concentrated in the first binary split (Table 3), the</w:t>
      </w:r>
      <w:r>
        <w:t xml:space="preserve"> </w:t>
      </w:r>
      <w:r>
        <w:t xml:space="preserve">signature of a partitioned continuum rather than of separable groups.</w:t>
      </w:r>
    </w:p>
    <w:p>
      <w:pPr>
        <w:pStyle w:val="BodyText"/>
      </w:pPr>
      <w:r>
        <w:rPr>
          <w:b/>
          <w:bCs/>
        </w:rPr>
        <w:t xml:space="preserve">Table 3.</w:t>
      </w:r>
      <w:r>
        <w:t xml:space="preserve"> </w:t>
      </w:r>
      <w:r>
        <w:t xml:space="preserve">The BIC-selected mixture solution for each dataset and two properties of it. The solution shown is the single parameterization with the highest BIC over the fourteen-model grid; its</w:t>
      </w:r>
      <w:r>
        <w:t xml:space="preserve"> </w:t>
      </w:r>
      <m:oMath>
        <m:r>
          <m:t>k</m:t>
        </m:r>
      </m:oMath>
      <w:r>
        <w:t xml:space="preserve"> </w:t>
      </w:r>
      <w:r>
        <w:t xml:space="preserve">is a property of that one model and need not equal the cross-grid median count of Table 2.</w:t>
      </w:r>
      <w:r>
        <w:t xml:space="preserve"> </w:t>
      </w:r>
      <w:r>
        <w:t xml:space="preserve">Confident assignment: the proportion of respondents with maximum posterior membership</w:t>
      </w:r>
      <w:r>
        <w:t xml:space="preserve"> </w:t>
      </w:r>
      <w:r>
        <w:t xml:space="preserve">probability above .8. First-split share: the proportion of the total BIC gain contributed by</w:t>
      </w:r>
      <w:r>
        <w:t xml:space="preserve"> </w:t>
      </w:r>
      <w:r>
        <w:t xml:space="preserve">the one-to-two-component division.</w:t>
      </w:r>
    </w:p>
    <w:tbl>
      <w:tblPr>
        <w:tblStyle w:val="Table"/>
        <w:tblW w:type="pct" w:w="5000"/>
        <w:tblLayout w:type="fixed"/>
        <w:tblLook w:firstRow="1" w:lastRow="0" w:firstColumn="0" w:lastColumn="0" w:noHBand="0" w:noVBand="0" w:val="0020"/>
      </w:tblPr>
      <w:tblGrid>
        <w:gridCol w:w="1951"/>
        <w:gridCol w:w="918"/>
        <w:gridCol w:w="688"/>
        <w:gridCol w:w="2295"/>
        <w:gridCol w:w="2066"/>
      </w:tblGrid>
      <w:tr>
        <w:trPr>
          <w:tblHeader w:val="on"/>
        </w:trPr>
        <w:tc>
          <w:tcPr/>
          <w:p>
            <w:pPr>
              <w:pStyle w:val="Compact"/>
              <w:jc w:val="left"/>
            </w:pPr>
            <w:r>
              <w:t xml:space="preserve">Slice</w:t>
            </w:r>
          </w:p>
        </w:tc>
        <w:tc>
          <w:tcPr/>
          <w:p>
            <w:pPr>
              <w:pStyle w:val="Compact"/>
              <w:jc w:val="center"/>
            </w:pPr>
            <w:r>
              <w:t xml:space="preserve">Model</w:t>
            </w:r>
          </w:p>
        </w:tc>
        <w:tc>
          <w:tcPr/>
          <w:p>
            <w:pPr>
              <w:pStyle w:val="Compact"/>
              <w:jc w:val="center"/>
            </w:pPr>
            <m:oMath>
              <m:r>
                <m:t>k</m:t>
              </m:r>
            </m:oMath>
          </w:p>
        </w:tc>
        <w:tc>
          <w:tcPr/>
          <w:p>
            <w:pPr>
              <w:pStyle w:val="Compact"/>
              <w:jc w:val="center"/>
            </w:pPr>
            <w:r>
              <w:t xml:space="preserve">Confident assign. (&gt;.8)</w:t>
            </w:r>
          </w:p>
        </w:tc>
        <w:tc>
          <w:tcPr/>
          <w:p>
            <w:pPr>
              <w:pStyle w:val="Compact"/>
              <w:jc w:val="center"/>
            </w:pPr>
            <w:r>
              <w:t xml:space="preserve">First-split share</w:t>
            </w:r>
          </w:p>
        </w:tc>
      </w:tr>
      <w:tr>
        <w:tc>
          <w:tcPr/>
          <w:p>
            <w:pPr>
              <w:pStyle w:val="Compact"/>
              <w:jc w:val="left"/>
            </w:pPr>
            <w:r>
              <w:t xml:space="preserve">NEO-120 dom.</w:t>
            </w:r>
          </w:p>
        </w:tc>
        <w:tc>
          <w:tcPr/>
          <w:p>
            <w:pPr>
              <w:pStyle w:val="Compact"/>
              <w:jc w:val="center"/>
            </w:pPr>
            <w:r>
              <w:t xml:space="preserve">VEE</w:t>
            </w:r>
          </w:p>
        </w:tc>
        <w:tc>
          <w:tcPr/>
          <w:p>
            <w:pPr>
              <w:pStyle w:val="Compact"/>
              <w:jc w:val="center"/>
            </w:pPr>
            <w:r>
              <w:t xml:space="preserve">5</w:t>
            </w:r>
          </w:p>
        </w:tc>
        <w:tc>
          <w:tcPr/>
          <w:p>
            <w:pPr>
              <w:pStyle w:val="Compact"/>
              <w:jc w:val="center"/>
            </w:pPr>
            <w:r>
              <w:t xml:space="preserve">16.0%</w:t>
            </w:r>
          </w:p>
        </w:tc>
        <w:tc>
          <w:tcPr/>
          <w:p>
            <w:pPr>
              <w:pStyle w:val="Compact"/>
              <w:jc w:val="center"/>
            </w:pPr>
            <w:r>
              <w:t xml:space="preserve">90.2%</w:t>
            </w:r>
          </w:p>
        </w:tc>
      </w:tr>
      <w:tr>
        <w:tc>
          <w:tcPr/>
          <w:p>
            <w:pPr>
              <w:pStyle w:val="Compact"/>
              <w:jc w:val="left"/>
            </w:pPr>
            <w:r>
              <w:t xml:space="preserve">NEO-120 fac.</w:t>
            </w:r>
          </w:p>
        </w:tc>
        <w:tc>
          <w:tcPr/>
          <w:p>
            <w:pPr>
              <w:pStyle w:val="Compact"/>
              <w:jc w:val="center"/>
            </w:pPr>
            <w:r>
              <w:t xml:space="preserve">VEE</w:t>
            </w:r>
          </w:p>
        </w:tc>
        <w:tc>
          <w:tcPr/>
          <w:p>
            <w:pPr>
              <w:pStyle w:val="Compact"/>
              <w:jc w:val="center"/>
            </w:pPr>
            <w:r>
              <w:t xml:space="preserve">5</w:t>
            </w:r>
          </w:p>
        </w:tc>
        <w:tc>
          <w:tcPr/>
          <w:p>
            <w:pPr>
              <w:pStyle w:val="Compact"/>
              <w:jc w:val="center"/>
            </w:pPr>
            <w:r>
              <w:t xml:space="preserve">48.9%</w:t>
            </w:r>
          </w:p>
        </w:tc>
        <w:tc>
          <w:tcPr/>
          <w:p>
            <w:pPr>
              <w:pStyle w:val="Compact"/>
              <w:jc w:val="center"/>
            </w:pPr>
            <w:r>
              <w:t xml:space="preserve">88.7%</w:t>
            </w:r>
          </w:p>
        </w:tc>
      </w:tr>
      <w:tr>
        <w:tc>
          <w:tcPr/>
          <w:p>
            <w:pPr>
              <w:pStyle w:val="Compact"/>
              <w:jc w:val="left"/>
            </w:pPr>
            <w:r>
              <w:t xml:space="preserve">IPIP-50 dom.</w:t>
            </w:r>
          </w:p>
        </w:tc>
        <w:tc>
          <w:tcPr/>
          <w:p>
            <w:pPr>
              <w:pStyle w:val="Compact"/>
              <w:jc w:val="center"/>
            </w:pPr>
            <w:r>
              <w:t xml:space="preserve">VVE</w:t>
            </w:r>
          </w:p>
        </w:tc>
        <w:tc>
          <w:tcPr/>
          <w:p>
            <w:pPr>
              <w:pStyle w:val="Compact"/>
              <w:jc w:val="center"/>
            </w:pPr>
            <w:r>
              <w:t xml:space="preserve">8</w:t>
            </w:r>
          </w:p>
        </w:tc>
        <w:tc>
          <w:tcPr/>
          <w:p>
            <w:pPr>
              <w:pStyle w:val="Compact"/>
              <w:jc w:val="center"/>
            </w:pPr>
            <w:r>
              <w:t xml:space="preserve">10.6%</w:t>
            </w:r>
          </w:p>
        </w:tc>
        <w:tc>
          <w:tcPr/>
          <w:p>
            <w:pPr>
              <w:pStyle w:val="Compact"/>
              <w:jc w:val="center"/>
            </w:pPr>
            <w:r>
              <w:t xml:space="preserve">59.4%</w:t>
            </w:r>
          </w:p>
        </w:tc>
      </w:tr>
      <w:tr>
        <w:tc>
          <w:tcPr/>
          <w:p>
            <w:pPr>
              <w:pStyle w:val="Compact"/>
              <w:jc w:val="left"/>
            </w:pPr>
            <w:r>
              <w:t xml:space="preserve">HEXACO dom.</w:t>
            </w:r>
          </w:p>
        </w:tc>
        <w:tc>
          <w:tcPr/>
          <w:p>
            <w:pPr>
              <w:pStyle w:val="Compact"/>
              <w:jc w:val="center"/>
            </w:pPr>
            <w:r>
              <w:t xml:space="preserve">VVE</w:t>
            </w:r>
          </w:p>
        </w:tc>
        <w:tc>
          <w:tcPr/>
          <w:p>
            <w:pPr>
              <w:pStyle w:val="Compact"/>
              <w:jc w:val="center"/>
            </w:pPr>
            <w:r>
              <w:t xml:space="preserve">4</w:t>
            </w:r>
          </w:p>
        </w:tc>
        <w:tc>
          <w:tcPr/>
          <w:p>
            <w:pPr>
              <w:pStyle w:val="Compact"/>
              <w:jc w:val="center"/>
            </w:pPr>
            <w:r>
              <w:t xml:space="preserve">24.0%</w:t>
            </w:r>
          </w:p>
        </w:tc>
        <w:tc>
          <w:tcPr/>
          <w:p>
            <w:pPr>
              <w:pStyle w:val="Compact"/>
              <w:jc w:val="center"/>
            </w:pPr>
            <w:r>
              <w:t xml:space="preserve">86.6%</w:t>
            </w:r>
          </w:p>
        </w:tc>
      </w:tr>
      <w:tr>
        <w:tc>
          <w:tcPr/>
          <w:p>
            <w:pPr>
              <w:pStyle w:val="Compact"/>
              <w:jc w:val="left"/>
            </w:pPr>
            <w:r>
              <w:t xml:space="preserve">HEXACO fac.</w:t>
            </w:r>
          </w:p>
        </w:tc>
        <w:tc>
          <w:tcPr/>
          <w:p>
            <w:pPr>
              <w:pStyle w:val="Compact"/>
              <w:jc w:val="center"/>
            </w:pPr>
            <w:r>
              <w:t xml:space="preserve">VEE</w:t>
            </w:r>
          </w:p>
        </w:tc>
        <w:tc>
          <w:tcPr/>
          <w:p>
            <w:pPr>
              <w:pStyle w:val="Compact"/>
              <w:jc w:val="center"/>
            </w:pPr>
            <w:r>
              <w:t xml:space="preserve">3</w:t>
            </w:r>
          </w:p>
        </w:tc>
        <w:tc>
          <w:tcPr/>
          <w:p>
            <w:pPr>
              <w:pStyle w:val="Compact"/>
              <w:jc w:val="center"/>
            </w:pPr>
            <w:r>
              <w:t xml:space="preserve">46.0%</w:t>
            </w:r>
          </w:p>
        </w:tc>
        <w:tc>
          <w:tcPr/>
          <w:p>
            <w:pPr>
              <w:pStyle w:val="Compact"/>
              <w:jc w:val="center"/>
            </w:pPr>
            <w:r>
              <w:t xml:space="preserve">98.9%</w:t>
            </w:r>
          </w:p>
        </w:tc>
      </w:tr>
    </w:tbl>
    <w:p>
      <w:pPr>
        <w:pStyle w:val="BodyText"/>
      </w:pPr>
      <w:r>
        <w:t xml:space="preserve"> </w:t>
      </w:r>
    </w:p>
    <w:tbl>
      <w:tblPr>
        <w:tblStyle w:val="Table"/>
        <w:tblW w:type="pct" w:w="5000"/>
        <w:tblLayout w:type="fixed"/>
        <w:tblLook w:firstRow="0" w:lastRow="0" w:firstColumn="0" w:lastColumn="0" w:noHBand="0" w:noVBand="0" w:val="0000"/>
      </w:tblPr>
      <w:tblGrid>
        <w:gridCol w:w="7920"/>
      </w:tblGrid>
      <w:tr>
        <w:tc>
          <w:tcPr/>
          <w:bookmarkStart w:id="36" w:name="fig-ccfi"/>
          <w:p>
            <w:pPr>
              <w:pStyle w:val="Compact"/>
              <w:jc w:val="center"/>
            </w:pPr>
            <w:r>
              <w:drawing>
                <wp:inline>
                  <wp:extent cx="4533900" cy="2952306"/>
                  <wp:effectExtent b="0" l="0" r="0" t="0"/>
                  <wp:docPr descr="" title="" id="34" name="Picture"/>
                  <a:graphic>
                    <a:graphicData uri="http://schemas.openxmlformats.org/drawingml/2006/picture">
                      <pic:pic>
                        <pic:nvPicPr>
                          <pic:cNvPr descr="../figures/fig2_ccfi_by_trait.png" id="35" name="Picture"/>
                          <pic:cNvPicPr>
                            <a:picLocks noChangeArrowheads="1" noChangeAspect="1"/>
                          </pic:cNvPicPr>
                        </pic:nvPicPr>
                        <pic:blipFill>
                          <a:blip r:embed="rId33"/>
                          <a:stretch>
                            <a:fillRect/>
                          </a:stretch>
                        </pic:blipFill>
                        <pic:spPr bwMode="auto">
                          <a:xfrm>
                            <a:off x="0" y="0"/>
                            <a:ext cx="4533900" cy="2952306"/>
                          </a:xfrm>
                          <a:prstGeom prst="rect">
                            <a:avLst/>
                          </a:prstGeom>
                          <a:noFill/>
                          <a:ln w="9525">
                            <a:noFill/>
                            <a:headEnd/>
                            <a:tailEnd/>
                          </a:ln>
                        </pic:spPr>
                      </pic:pic>
                    </a:graphicData>
                  </a:graphic>
                </wp:inline>
              </w:drawing>
            </w:r>
          </w:p>
          <w:p>
            <w:pPr>
              <w:jc w:val="center"/>
            </w:pPr>
            <w:pPr>
              <w:jc w:val="left"/>
              <w:spacing w:before="200"/>
              <w:pStyle w:val="ImageCaption"/>
            </w:pPr>
            <w:r>
              <w:t xml:space="preserve">Figure 3: CCFI by trait. Each point is the mean of the two preregistered taxometric procedures, MAMBAC and MAXEIG; the segment marks their range. Values below .45 read dimensional, .45 to .55 ambiguous, above .55 categorical. No trait’s mean reaches the categorical threshold.</w:t>
            </w:r>
          </w:p>
          <w:bookmarkEnd w:id="36"/>
        </w:tc>
      </w:tr>
    </w:tbl>
    <w:p>
      <w:pPr>
        <w:pStyle w:val="BodyText"/>
      </w:pPr>
      <w:r>
        <w:t xml:space="preserve">The workflow’s verdict, in one sentence: the</w:t>
      </w:r>
      <w:r>
        <w:t xml:space="preserve"> </w:t>
      </w:r>
      <w:r>
        <w:t xml:space="preserve">“types”</w:t>
      </w:r>
      <w:r>
        <w:t xml:space="preserve"> </w:t>
      </w:r>
      <w:r>
        <w:t xml:space="preserve">these datasets produce are the shape of</w:t>
      </w:r>
      <w:r>
        <w:t xml:space="preserve"> </w:t>
      </w:r>
      <w:r>
        <w:t xml:space="preserve">their margins and correlations, reproduced in full by a twin that contains no types, under two</w:t>
      </w:r>
      <w:r>
        <w:t xml:space="preserve"> </w:t>
      </w:r>
      <w:r>
        <w:t xml:space="preserve">different clustering engines, with no categorical signature in any trait. The substantive</w:t>
      </w:r>
      <w:r>
        <w:t xml:space="preserve"> </w:t>
      </w:r>
      <w:r>
        <w:t xml:space="preserve">conclusion is not new; what the workflow adds is that the claim was made to fail in a specific,</w:t>
      </w:r>
      <w:r>
        <w:t xml:space="preserve"> </w:t>
      </w:r>
      <w:r>
        <w:t xml:space="preserve">preregistered way, and did not.</w:t>
      </w:r>
    </w:p>
    <w:bookmarkEnd w:id="37"/>
    <w:bookmarkStart w:id="38" w:name="X61565cb56394dccec9d691a2c6423c2231a49a5"/>
    <w:p>
      <w:pPr>
        <w:pStyle w:val="Heading1"/>
      </w:pPr>
      <w:r>
        <w:t xml:space="preserve">Practical guidance: where the test has power, and what its verdicts mean</w:t>
      </w:r>
    </w:p>
    <w:p>
      <w:pPr>
        <w:pStyle w:val="FirstParagraph"/>
      </w:pPr>
      <w:r>
        <w:t xml:space="preserve">A tool is used well only when its boundaries are as clear as its output. Four are worth</w:t>
      </w:r>
      <w:r>
        <w:t xml:space="preserve"> </w:t>
      </w:r>
      <w:r>
        <w:t xml:space="preserve">knowing before applying this one.</w:t>
      </w:r>
    </w:p>
    <w:p>
      <w:pPr>
        <w:pStyle w:val="BodyText"/>
      </w:pPr>
      <w:r>
        <w:rPr>
          <w:b/>
          <w:bCs/>
        </w:rPr>
        <w:t xml:space="preserve">Strong mean separation is the null’s blind spot, and the workflow’s first step is the guard.</w:t>
      </w:r>
      <w:r>
        <w:t xml:space="preserve"> </w:t>
      </w:r>
      <w:r>
        <w:t xml:space="preserve">Suppose two groups differ only in their average levels, far enough apart that the separation</w:t>
      </w:r>
      <w:r>
        <w:t xml:space="preserve"> </w:t>
      </w:r>
      <w:r>
        <w:t xml:space="preserve">shows in the histograms and the correlations. The null preserves both, so its twins reproduce</w:t>
      </w:r>
      <w:r>
        <w:t xml:space="preserve"> </w:t>
      </w:r>
      <w:r>
        <w:t xml:space="preserve">the same partition, and the count test goes quiet: the three-standard-deviation case in</w:t>
      </w:r>
      <w:r>
        <w:t xml:space="preserve"> </w:t>
      </w:r>
      <w:hyperlink w:anchor="fig-pc">
        <w:r>
          <w:rPr>
            <w:rStyle w:val="Hyperlink"/>
          </w:rPr>
          <w:t xml:space="preserve">Figure 1</w:t>
        </w:r>
      </w:hyperlink>
      <w:r>
        <w:t xml:space="preserve">. The reason is a fact about the data rather than a defect of the test. From margins</w:t>
      </w:r>
      <w:r>
        <w:t xml:space="preserve"> </w:t>
      </w:r>
      <w:r>
        <w:t xml:space="preserve">and correlations alone, two well-separated groups and a single unclustered population with the</w:t>
      </w:r>
      <w:r>
        <w:t xml:space="preserve"> </w:t>
      </w:r>
      <w:r>
        <w:t xml:space="preserve">same bimodal margins are the same object; the information that would separate those</w:t>
      </w:r>
      <w:r>
        <w:t xml:space="preserve"> </w:t>
      </w:r>
      <w:r>
        <w:t xml:space="preserve">descriptions is not present in the margins and correlations.</w:t>
      </w:r>
      <w:r>
        <w:t xml:space="preserve"> </w:t>
      </w:r>
      <w:r>
        <w:t xml:space="preserve">A method that reports the separated pair anyway is supplying the missing information by</w:t>
      </w:r>
      <w:r>
        <w:t xml:space="preserve"> </w:t>
      </w:r>
      <w:r>
        <w:t xml:space="preserve">assumption, and the calibration shows what that assumption costs: committed to Gaussian</w:t>
      </w:r>
      <w:r>
        <w:t xml:space="preserve"> </w:t>
      </w:r>
      <w:r>
        <w:t xml:space="preserve">components, the bootstrap likelihood-ratio test renders a skewed single group as several, in</w:t>
      </w:r>
      <w:r>
        <w:t xml:space="preserve"> </w:t>
      </w:r>
      <w:r>
        <w:t xml:space="preserve">every typeless dataset tested. The practical rule is simple. A separation strong enough to</w:t>
      </w:r>
      <w:r>
        <w:t xml:space="preserve"> </w:t>
      </w:r>
      <w:r>
        <w:t xml:space="preserve">defeat the null is strong enough to bend at least one margin visibly bimodal, which is exactly</w:t>
      </w:r>
      <w:r>
        <w:t xml:space="preserve"> </w:t>
      </w:r>
      <w:r>
        <w:t xml:space="preserve">what step 1 inspects; a dataset that passes the margin check is in the regime where the count</w:t>
      </w:r>
      <w:r>
        <w:t xml:space="preserve"> </w:t>
      </w:r>
      <w:r>
        <w:t xml:space="preserve">test speaks with authority.</w:t>
      </w:r>
    </w:p>
    <w:p>
      <w:pPr>
        <w:pStyle w:val="BodyText"/>
      </w:pPr>
      <w:r>
        <w:rPr>
          <w:b/>
          <w:bCs/>
        </w:rPr>
        <w:t xml:space="preserve">“Exceeds the null”</w:t>
      </w:r>
      <w:r>
        <w:rPr>
          <w:b/>
          <w:bCs/>
        </w:rPr>
        <w:t xml:space="preserve"> </w:t>
      </w:r>
      <w:r>
        <w:rPr>
          <w:b/>
          <w:bCs/>
        </w:rPr>
        <w:t xml:space="preserve">means structure, not types.</w:t>
      </w:r>
      <w:r>
        <w:t xml:space="preserve"> </w:t>
      </w:r>
      <w:r>
        <w:t xml:space="preserve">The null fixes the linear dependence and</w:t>
      </w:r>
      <w:r>
        <w:t xml:space="preserve"> </w:t>
      </w:r>
      <w:r>
        <w:t xml:space="preserve">nothing above it, so any departure, categorical or not, can register. This is by design, and</w:t>
      </w:r>
      <w:r>
        <w:t xml:space="preserve"> </w:t>
      </w:r>
      <w:r>
        <w:t xml:space="preserve">it has a measurable consequence: on typeless data whose</w:t>
      </w:r>
      <w:r>
        <w:t xml:space="preserve"> </w:t>
      </w:r>
      <w:r>
        <w:rPr>
          <w:i/>
          <w:iCs/>
        </w:rPr>
        <w:t xml:space="preserve">dependence</w:t>
      </w:r>
      <w:r>
        <w:t xml:space="preserve"> </w:t>
      </w:r>
      <w:r>
        <w:t xml:space="preserve">is non-Gaussian (a t</w:t>
      </w:r>
      <w:r>
        <w:t xml:space="preserve"> </w:t>
      </w:r>
      <w:r>
        <w:t xml:space="preserve">copula with tail dependence, correlation matrix from real personality data), the count test</w:t>
      </w:r>
      <w:r>
        <w:t xml:space="preserve"> </w:t>
      </w:r>
      <w:r>
        <w:t xml:space="preserve">fires nearly always (99 to 100 percent across tail-dependence strengths; Table S5), just as</w:t>
      </w:r>
      <w:r>
        <w:t xml:space="preserve"> </w:t>
      </w:r>
      <w:r>
        <w:t xml:space="preserve">BIC and the bootstrap test do. The two-stage design is what keeps this from being a false</w:t>
      </w:r>
      <w:r>
        <w:t xml:space="preserve"> </w:t>
      </w:r>
      <w:r>
        <w:t xml:space="preserve">alarm: the count answers</w:t>
      </w:r>
      <w:r>
        <w:t xml:space="preserve"> </w:t>
      </w:r>
      <w:r>
        <w:t xml:space="preserve">“is there structure beyond margins and correlations,”</w:t>
      </w:r>
      <w:r>
        <w:t xml:space="preserve"> </w:t>
      </w:r>
      <w:r>
        <w:t xml:space="preserve">and step 5</w:t>
      </w:r>
      <w:r>
        <w:t xml:space="preserve"> </w:t>
      </w:r>
      <w:r>
        <w:t xml:space="preserve">answers</w:t>
      </w:r>
      <w:r>
        <w:t xml:space="preserve"> </w:t>
      </w:r>
      <w:r>
        <w:t xml:space="preserve">“is it categorical.”</w:t>
      </w:r>
      <w:r>
        <w:t xml:space="preserve"> </w:t>
      </w:r>
      <w:r>
        <w:t xml:space="preserve">On those same t-copula data the structure is elliptical and</w:t>
      </w:r>
      <w:r>
        <w:t xml:space="preserve"> </w:t>
      </w:r>
      <w:r>
        <w:t xml:space="preserve">groupless, which is what the categorical signatures then report. Read the verdicts in their</w:t>
      </w:r>
      <w:r>
        <w:t xml:space="preserve"> </w:t>
      </w:r>
      <w:r>
        <w:t xml:space="preserve">order; an exceedance alone licenses interest, not a typology.</w:t>
      </w:r>
    </w:p>
    <w:p>
      <w:pPr>
        <w:pStyle w:val="BodyText"/>
      </w:pPr>
      <w:r>
        <w:rPr>
          <w:b/>
          <w:bCs/>
        </w:rPr>
        <w:t xml:space="preserve">Power declines as irrelevant dimensions are added.</w:t>
      </w:r>
      <w:r>
        <w:t xml:space="preserve"> </w:t>
      </w:r>
      <w:r>
        <w:t xml:space="preserve">With the type signal confined to a</w:t>
      </w:r>
      <w:r>
        <w:t xml:space="preserve"> </w:t>
      </w:r>
      <w:r>
        <w:t xml:space="preserve">fixed set of four variables, detection of dependence-only types weakens as noise dimensions</w:t>
      </w:r>
      <w:r>
        <w:t xml:space="preserve"> </w:t>
      </w:r>
      <w:r>
        <w:t xml:space="preserve">grow: strong at five variables, reduced at ten, and present only for the strongest signal at</w:t>
      </w:r>
      <w:r>
        <w:t xml:space="preserve"> </w:t>
      </w:r>
      <w:r>
        <w:t xml:space="preserve">twenty (Table S4). Where the substantive claim concerns a low-dimensional trait space, as</w:t>
      </w:r>
      <w:r>
        <w:t xml:space="preserve"> </w:t>
      </w:r>
      <w:r>
        <w:t xml:space="preserve">in the worked example, this costs little; users testing high-dimensional data should</w:t>
      </w:r>
      <w:r>
        <w:t xml:space="preserve"> </w:t>
      </w:r>
      <w:r>
        <w:t xml:space="preserve">concentrate the analysis on the variables the typology is actually about, or expect the test</w:t>
      </w:r>
      <w:r>
        <w:t xml:space="preserve"> </w:t>
      </w:r>
      <w:r>
        <w:t xml:space="preserve">to be conservative.</w:t>
      </w:r>
    </w:p>
    <w:p>
      <w:pPr>
        <w:pStyle w:val="BodyText"/>
      </w:pPr>
      <w:r>
        <w:rPr>
          <w:b/>
          <w:bCs/>
        </w:rPr>
        <w:t xml:space="preserve">Fix the summary statistic in advance.</w:t>
      </w:r>
      <w:r>
        <w:t xml:space="preserve"> </w:t>
      </w:r>
      <w:r>
        <w:t xml:space="preserve">A count must be summarized across specifications,</w:t>
      </w:r>
      <w:r>
        <w:t xml:space="preserve"> </w:t>
      </w:r>
      <w:r>
        <w:t xml:space="preserve">and the choice matters: in the worked example the per-model counts are right-censored at the</w:t>
      </w:r>
      <w:r>
        <w:t xml:space="preserve"> </w:t>
      </w:r>
      <w:r>
        <w:t xml:space="preserve">grid ceiling, so their mean is pulled upward by saturated parameterizations while the median is</w:t>
      </w:r>
      <w:r>
        <w:t xml:space="preserve"> </w:t>
      </w:r>
      <w:r>
        <w:t xml:space="preserve">not, and the two can disagree about the verdict. The median was preregistered here for that</w:t>
      </w:r>
      <w:r>
        <w:t xml:space="preserve"> </w:t>
      </w:r>
      <w:r>
        <w:t xml:space="preserve">reason, and the divergence is itself an instance of the analytic flexibility the procedure is</w:t>
      </w:r>
      <w:r>
        <w:t xml:space="preserve"> </w:t>
      </w:r>
      <w:r>
        <w:t xml:space="preserve">meant to surface. Whatever statistic is chosen, choose it before the data are seen, and always</w:t>
      </w:r>
      <w:r>
        <w:t xml:space="preserve"> </w:t>
      </w:r>
      <w:r>
        <w:t xml:space="preserve">compare real data and twins at the same sample size, since selected counts grow with</w:t>
      </w:r>
      <w:r>
        <w:t xml:space="preserve"> </w:t>
      </w:r>
      <m:oMath>
        <m:r>
          <m:t>n</m:t>
        </m:r>
      </m:oMath>
      <w:r>
        <w:t xml:space="preserve">.</w:t>
      </w:r>
    </w:p>
    <w:bookmarkEnd w:id="38"/>
    <w:bookmarkStart w:id="39" w:name="conclusion"/>
    <w:p>
      <w:pPr>
        <w:pStyle w:val="Heading1"/>
      </w:pPr>
      <w:r>
        <w:t xml:space="preserve">Conclusion</w:t>
      </w:r>
    </w:p>
    <w:p>
      <w:pPr>
        <w:pStyle w:val="FirstParagraph"/>
      </w:pPr>
      <w:r>
        <w:t xml:space="preserve">The number of clusters a pipeline reports is not, by itself, a property of the people it</w:t>
      </w:r>
      <w:r>
        <w:t xml:space="preserve"> </w:t>
      </w:r>
      <w:r>
        <w:t xml:space="preserve">describes; it becomes one only when it exceeds what the data’s own margins and correlations</w:t>
      </w:r>
      <w:r>
        <w:t xml:space="preserve"> </w:t>
      </w:r>
      <w:r>
        <w:t xml:space="preserve">already produce, and when the excess carries categorical signatures. matchednull makes that</w:t>
      </w:r>
      <w:r>
        <w:t xml:space="preserve"> </w:t>
      </w:r>
      <w:r>
        <w:t xml:space="preserve">check routine: one function builds the twin, one function runs any pipeline against it, and</w:t>
      </w:r>
      <w:r>
        <w:t xml:space="preserve"> </w:t>
      </w:r>
      <w:r>
        <w:t xml:space="preserve">the surrounding workflow separates structure from categories. In the demonstration, a</w:t>
      </w:r>
      <w:r>
        <w:t xml:space="preserve"> </w:t>
      </w:r>
      <w:r>
        <w:t xml:space="preserve">million-respondent</w:t>
      </w:r>
      <w:r>
        <w:t xml:space="preserve"> </w:t>
      </w:r>
      <w:r>
        <w:t xml:space="preserve">“types”</w:t>
      </w:r>
      <w:r>
        <w:t xml:space="preserve"> </w:t>
      </w:r>
      <w:r>
        <w:t xml:space="preserve">claim came apart into a covariance setting and a typeless twin; the</w:t>
      </w:r>
      <w:r>
        <w:t xml:space="preserve"> </w:t>
      </w:r>
      <w:r>
        <w:t xml:space="preserve">next such claim, from any pipeline, can be given the same afternoon of scrutiny.</w:t>
      </w:r>
    </w:p>
    <w:bookmarkEnd w:id="39"/>
    <w:bookmarkStart w:id="42" w:name="open-practices-statement"/>
    <w:p>
      <w:pPr>
        <w:pStyle w:val="Heading1"/>
      </w:pPr>
      <w:r>
        <w:t xml:space="preserve">Open Practices Statement</w:t>
      </w:r>
    </w:p>
    <w:p>
      <w:pPr>
        <w:pStyle w:val="FirstParagraph"/>
      </w:pPr>
      <w:r>
        <w:t xml:space="preserve">All materials are public. The analysis code, the three public datasets’ sources, and the</w:t>
      </w:r>
      <w:r>
        <w:t xml:space="preserve"> </w:t>
      </w:r>
      <w:r>
        <w:t xml:space="preserve">rendered manuscript are available at</w:t>
      </w:r>
      <w:r>
        <w:t xml:space="preserve"> </w:t>
      </w:r>
      <w:hyperlink r:id="rId40">
        <w:r>
          <w:rPr>
            <w:rStyle w:val="Hyperlink"/>
          </w:rPr>
          <w:t xml:space="preserve">https://github.com/haomeng797-ship-it/types-without-taxa</w:t>
        </w:r>
      </w:hyperlink>
      <w:r>
        <w:t xml:space="preserve">;</w:t>
      </w:r>
      <w:r>
        <w:t xml:space="preserve"> </w:t>
      </w:r>
      <w:r>
        <w:t xml:space="preserve">the matchednull package is available at</w:t>
      </w:r>
      <w:r>
        <w:t xml:space="preserve"> </w:t>
      </w:r>
      <w:hyperlink r:id="rId9">
        <w:r>
          <w:rPr>
            <w:rStyle w:val="Hyperlink"/>
          </w:rPr>
          <w:t xml:space="preserve">https://github.com/haomeng797-ship-it/matchednull</w:t>
        </w:r>
      </w:hyperlink>
      <w:r>
        <w:t xml:space="preserve"> </w:t>
      </w:r>
      <w:r>
        <w:t xml:space="preserve">and has been submitted to CRAN. The confirmatory analysis of the worked example, its decision</w:t>
      </w:r>
      <w:r>
        <w:t xml:space="preserve"> </w:t>
      </w:r>
      <w:r>
        <w:t xml:space="preserve">rule, its specification grid, and the analysis code were preregistered and archived on the</w:t>
      </w:r>
      <w:r>
        <w:t xml:space="preserve"> </w:t>
      </w:r>
      <w:r>
        <w:t xml:space="preserve">Open Science Framework before the held-out data were opened, as a frozen, time-stamped</w:t>
      </w:r>
      <w:r>
        <w:t xml:space="preserve"> </w:t>
      </w:r>
      <w:r>
        <w:t xml:space="preserve">registration with a persistent identifier</w:t>
      </w:r>
      <w:r>
        <w:t xml:space="preserve"> </w:t>
      </w:r>
      <w:r>
        <w:t xml:space="preserve">(</w:t>
      </w:r>
      <w:hyperlink r:id="rId41">
        <w:r>
          <w:rPr>
            <w:rStyle w:val="Hyperlink"/>
          </w:rPr>
          <w:t xml:space="preserve">https://doi.org/10.17605/OSF.IO/2EKCG</w:t>
        </w:r>
      </w:hyperlink>
      <w:r>
        <w:t xml:space="preserve">; analysis seed 20260620). The simulations</w:t>
      </w:r>
      <w:r>
        <w:t xml:space="preserve"> </w:t>
      </w:r>
      <w:r>
        <w:t xml:space="preserve">reported in the validation and practical-guidance sections were not preregistered.</w:t>
      </w:r>
    </w:p>
    <w:bookmarkEnd w:id="42"/>
    <w:bookmarkStart w:id="43" w:name="declarations"/>
    <w:p>
      <w:pPr>
        <w:pStyle w:val="Heading1"/>
      </w:pPr>
      <w:r>
        <w:t xml:space="preserve">Declarations</w:t>
      </w:r>
    </w:p>
    <w:p>
      <w:pPr>
        <w:pStyle w:val="FirstParagraph"/>
      </w:pPr>
      <w:r>
        <w:rPr>
          <w:b/>
          <w:bCs/>
        </w:rPr>
        <w:t xml:space="preserve">Funding.</w:t>
      </w:r>
      <w:r>
        <w:t xml:space="preserve"> </w:t>
      </w:r>
      <w:r>
        <w:t xml:space="preserve">This work received no external funding.</w:t>
      </w:r>
    </w:p>
    <w:p>
      <w:pPr>
        <w:pStyle w:val="BodyText"/>
      </w:pPr>
      <w:r>
        <w:rPr>
          <w:b/>
          <w:bCs/>
        </w:rPr>
        <w:t xml:space="preserve">Conflicts of interest.</w:t>
      </w:r>
      <w:r>
        <w:t xml:space="preserve"> </w:t>
      </w:r>
      <w:r>
        <w:t xml:space="preserve">The author declares no competing interests.</w:t>
      </w:r>
    </w:p>
    <w:p>
      <w:pPr>
        <w:pStyle w:val="BodyText"/>
      </w:pPr>
      <w:r>
        <w:rPr>
          <w:b/>
          <w:bCs/>
        </w:rPr>
        <w:t xml:space="preserve">Ethics approval.</w:t>
      </w:r>
      <w:r>
        <w:t xml:space="preserve"> </w:t>
      </w:r>
      <w:r>
        <w:t xml:space="preserve">The study is a secondary analysis of publicly available, de-identified</w:t>
      </w:r>
      <w:r>
        <w:t xml:space="preserve"> </w:t>
      </w:r>
      <w:r>
        <w:t xml:space="preserve">datasets and involved no new data collection; the University of Pennsylvania Institutional</w:t>
      </w:r>
      <w:r>
        <w:t xml:space="preserve"> </w:t>
      </w:r>
      <w:r>
        <w:t xml:space="preserve">Review Board determined that it did not require review.</w:t>
      </w:r>
    </w:p>
    <w:p>
      <w:pPr>
        <w:pStyle w:val="BodyText"/>
      </w:pPr>
      <w:r>
        <w:rPr>
          <w:b/>
          <w:bCs/>
        </w:rPr>
        <w:t xml:space="preserve">Consent to participate / consent for publication.</w:t>
      </w:r>
      <w:r>
        <w:t xml:space="preserve"> </w:t>
      </w:r>
      <w:r>
        <w:t xml:space="preserve">Not applicable (no new data were</w:t>
      </w:r>
      <w:r>
        <w:t xml:space="preserve"> </w:t>
      </w:r>
      <w:r>
        <w:t xml:space="preserve">collected from human participants).</w:t>
      </w:r>
    </w:p>
    <w:p>
      <w:pPr>
        <w:pStyle w:val="BodyText"/>
      </w:pPr>
      <w:r>
        <w:rPr>
          <w:b/>
          <w:bCs/>
        </w:rPr>
        <w:t xml:space="preserve">Availability of data and materials.</w:t>
      </w:r>
      <w:r>
        <w:t xml:space="preserve"> </w:t>
      </w:r>
      <w:r>
        <w:t xml:space="preserve">The three datasets are public; their sources and</w:t>
      </w:r>
      <w:r>
        <w:t xml:space="preserve"> </w:t>
      </w:r>
      <w:r>
        <w:t xml:space="preserve">citations are documented in the project repository.</w:t>
      </w:r>
    </w:p>
    <w:p>
      <w:pPr>
        <w:pStyle w:val="BodyText"/>
      </w:pPr>
      <w:r>
        <w:rPr>
          <w:b/>
          <w:bCs/>
        </w:rPr>
        <w:t xml:space="preserve">Code availability.</w:t>
      </w:r>
      <w:r>
        <w:t xml:space="preserve"> </w:t>
      </w:r>
      <w:r>
        <w:t xml:space="preserve">The matchednull R package and the complete analysis code are available</w:t>
      </w:r>
      <w:r>
        <w:t xml:space="preserve"> </w:t>
      </w:r>
      <w:r>
        <w:t xml:space="preserve">at the repositories given in the Open Practices Statement.</w:t>
      </w:r>
    </w:p>
    <w:p>
      <w:pPr>
        <w:pStyle w:val="BodyText"/>
      </w:pPr>
      <w:r>
        <w:rPr>
          <w:b/>
          <w:bCs/>
        </w:rPr>
        <w:t xml:space="preserve">Authors’ contributions.</w:t>
      </w:r>
      <w:r>
        <w:t xml:space="preserve"> </w:t>
      </w:r>
      <w:r>
        <w:t xml:space="preserve">The sole author designed the method, performed all analyses, wrote</w:t>
      </w:r>
      <w:r>
        <w:t xml:space="preserve"> </w:t>
      </w:r>
      <w:r>
        <w:t xml:space="preserve">the software, and wrote the manuscript.</w:t>
      </w:r>
    </w:p>
    <w:bookmarkEnd w:id="43"/>
    <w:bookmarkStart w:id="44" w:name="supplementary-tables"/>
    <w:p>
      <w:pPr>
        <w:pStyle w:val="Heading1"/>
      </w:pPr>
      <w:r>
        <w:t xml:space="preserve">Supplementary tables</w:t>
      </w:r>
    </w:p>
    <w:p>
      <w:pPr>
        <w:pStyle w:val="FirstParagraph"/>
      </w:pPr>
      <w:r>
        <w:rPr>
          <w:b/>
          <w:bCs/>
        </w:rPr>
        <w:t xml:space="preserve">Table S1.</w:t>
      </w:r>
      <w:r>
        <w:t xml:space="preserve"> </w:t>
      </w:r>
      <w:r>
        <w:t xml:space="preserve">The number of components BIC selected under each of the fourteen mclust covariance parameterizations, at the matched sample size (8,000 cases for domain analyses, 5,000 for facet analyses). The median of each column is the count statistic reported in Table 2.</w:t>
      </w:r>
    </w:p>
    <w:tbl>
      <w:tblPr>
        <w:tblStyle w:val="Table"/>
        <w:tblW w:type="pct" w:w="5000"/>
        <w:tblLayout w:type="fixed"/>
        <w:tblLook w:firstRow="1" w:lastRow="0" w:firstColumn="0" w:lastColumn="0" w:noHBand="0" w:noVBand="0" w:val="0020"/>
      </w:tblPr>
      <w:tblGrid>
        <w:gridCol w:w="1033"/>
        <w:gridCol w:w="1377"/>
        <w:gridCol w:w="1377"/>
        <w:gridCol w:w="1377"/>
        <w:gridCol w:w="1377"/>
        <w:gridCol w:w="1377"/>
      </w:tblGrid>
      <w:tr>
        <w:trPr>
          <w:tblHeader w:val="on"/>
        </w:trPr>
        <w:tc>
          <w:tcPr/>
          <w:p>
            <w:pPr>
              <w:pStyle w:val="Compact"/>
              <w:jc w:val="left"/>
            </w:pPr>
            <w:r>
              <w:t xml:space="preserve">Model</w:t>
            </w:r>
          </w:p>
        </w:tc>
        <w:tc>
          <w:tcPr/>
          <w:p>
            <w:pPr>
              <w:pStyle w:val="Compact"/>
              <w:jc w:val="center"/>
            </w:pPr>
            <w:r>
              <w:t xml:space="preserve">NEO-120 dom.</w:t>
            </w:r>
          </w:p>
        </w:tc>
        <w:tc>
          <w:tcPr/>
          <w:p>
            <w:pPr>
              <w:pStyle w:val="Compact"/>
              <w:jc w:val="center"/>
            </w:pPr>
            <w:r>
              <w:t xml:space="preserve">NEO-120 fac.</w:t>
            </w:r>
          </w:p>
        </w:tc>
        <w:tc>
          <w:tcPr/>
          <w:p>
            <w:pPr>
              <w:pStyle w:val="Compact"/>
              <w:jc w:val="center"/>
            </w:pPr>
            <w:r>
              <w:t xml:space="preserve">IPIP-50 dom.</w:t>
            </w:r>
          </w:p>
        </w:tc>
        <w:tc>
          <w:tcPr/>
          <w:p>
            <w:pPr>
              <w:pStyle w:val="Compact"/>
              <w:jc w:val="center"/>
            </w:pPr>
            <w:r>
              <w:t xml:space="preserve">HEXACO dom.</w:t>
            </w:r>
          </w:p>
        </w:tc>
        <w:tc>
          <w:tcPr/>
          <w:p>
            <w:pPr>
              <w:pStyle w:val="Compact"/>
              <w:jc w:val="center"/>
            </w:pPr>
            <w:r>
              <w:t xml:space="preserve">HEXACO fac.</w:t>
            </w:r>
          </w:p>
        </w:tc>
      </w:tr>
      <w:tr>
        <w:tc>
          <w:tcPr/>
          <w:p>
            <w:pPr>
              <w:pStyle w:val="Compact"/>
              <w:jc w:val="left"/>
            </w:pPr>
            <w:r>
              <w:t xml:space="preserve">EII</w:t>
            </w:r>
          </w:p>
        </w:tc>
        <w:tc>
          <w:tcPr/>
          <w:p>
            <w:pPr>
              <w:pStyle w:val="Compact"/>
              <w:jc w:val="center"/>
            </w:pPr>
            <w:r>
              <w:t xml:space="preserve">10</w:t>
            </w:r>
          </w:p>
        </w:tc>
        <w:tc>
          <w:tcPr/>
          <w:p>
            <w:pPr>
              <w:pStyle w:val="Compact"/>
              <w:jc w:val="center"/>
            </w:pPr>
            <w:r>
              <w:t xml:space="preserve">10</w:t>
            </w:r>
          </w:p>
        </w:tc>
        <w:tc>
          <w:tcPr/>
          <w:p>
            <w:pPr>
              <w:pStyle w:val="Compact"/>
              <w:jc w:val="center"/>
            </w:pPr>
            <w:r>
              <w:t xml:space="preserve">10</w:t>
            </w:r>
          </w:p>
        </w:tc>
        <w:tc>
          <w:tcPr/>
          <w:p>
            <w:pPr>
              <w:pStyle w:val="Compact"/>
              <w:jc w:val="center"/>
            </w:pPr>
            <w:r>
              <w:t xml:space="preserve">10</w:t>
            </w:r>
          </w:p>
        </w:tc>
        <w:tc>
          <w:tcPr/>
          <w:p>
            <w:pPr>
              <w:pStyle w:val="Compact"/>
              <w:jc w:val="center"/>
            </w:pPr>
            <w:r>
              <w:t xml:space="preserve">10</w:t>
            </w:r>
          </w:p>
        </w:tc>
      </w:tr>
      <w:tr>
        <w:tc>
          <w:tcPr/>
          <w:p>
            <w:pPr>
              <w:pStyle w:val="Compact"/>
              <w:jc w:val="left"/>
            </w:pPr>
            <w:r>
              <w:t xml:space="preserve">VII</w:t>
            </w:r>
          </w:p>
        </w:tc>
        <w:tc>
          <w:tcPr/>
          <w:p>
            <w:pPr>
              <w:pStyle w:val="Compact"/>
              <w:jc w:val="center"/>
            </w:pPr>
            <w:r>
              <w:t xml:space="preserve">10</w:t>
            </w:r>
          </w:p>
        </w:tc>
        <w:tc>
          <w:tcPr/>
          <w:p>
            <w:pPr>
              <w:pStyle w:val="Compact"/>
              <w:jc w:val="center"/>
            </w:pPr>
            <w:r>
              <w:t xml:space="preserve">10</w:t>
            </w:r>
          </w:p>
        </w:tc>
        <w:tc>
          <w:tcPr/>
          <w:p>
            <w:pPr>
              <w:pStyle w:val="Compact"/>
              <w:jc w:val="center"/>
            </w:pPr>
            <w:r>
              <w:t xml:space="preserve">10</w:t>
            </w:r>
          </w:p>
        </w:tc>
        <w:tc>
          <w:tcPr/>
          <w:p>
            <w:pPr>
              <w:pStyle w:val="Compact"/>
              <w:jc w:val="center"/>
            </w:pPr>
            <w:r>
              <w:t xml:space="preserve">10</w:t>
            </w:r>
          </w:p>
        </w:tc>
        <w:tc>
          <w:tcPr/>
          <w:p>
            <w:pPr>
              <w:pStyle w:val="Compact"/>
              <w:jc w:val="center"/>
            </w:pPr>
            <w:r>
              <w:t xml:space="preserve">10</w:t>
            </w:r>
          </w:p>
        </w:tc>
      </w:tr>
      <w:tr>
        <w:tc>
          <w:tcPr/>
          <w:p>
            <w:pPr>
              <w:pStyle w:val="Compact"/>
              <w:jc w:val="left"/>
            </w:pPr>
            <w:r>
              <w:t xml:space="preserve">EEI</w:t>
            </w:r>
          </w:p>
        </w:tc>
        <w:tc>
          <w:tcPr/>
          <w:p>
            <w:pPr>
              <w:pStyle w:val="Compact"/>
              <w:jc w:val="center"/>
            </w:pPr>
            <w:r>
              <w:t xml:space="preserve">10</w:t>
            </w:r>
          </w:p>
        </w:tc>
        <w:tc>
          <w:tcPr/>
          <w:p>
            <w:pPr>
              <w:pStyle w:val="Compact"/>
              <w:jc w:val="center"/>
            </w:pPr>
            <w:r>
              <w:t xml:space="preserve">10</w:t>
            </w:r>
          </w:p>
        </w:tc>
        <w:tc>
          <w:tcPr/>
          <w:p>
            <w:pPr>
              <w:pStyle w:val="Compact"/>
              <w:jc w:val="center"/>
            </w:pPr>
            <w:r>
              <w:t xml:space="preserve">10</w:t>
            </w:r>
          </w:p>
        </w:tc>
        <w:tc>
          <w:tcPr/>
          <w:p>
            <w:pPr>
              <w:pStyle w:val="Compact"/>
              <w:jc w:val="center"/>
            </w:pPr>
            <w:r>
              <w:t xml:space="preserve">10</w:t>
            </w:r>
          </w:p>
        </w:tc>
        <w:tc>
          <w:tcPr/>
          <w:p>
            <w:pPr>
              <w:pStyle w:val="Compact"/>
              <w:jc w:val="center"/>
            </w:pPr>
            <w:r>
              <w:t xml:space="preserve">10</w:t>
            </w:r>
          </w:p>
        </w:tc>
      </w:tr>
      <w:tr>
        <w:tc>
          <w:tcPr/>
          <w:p>
            <w:pPr>
              <w:pStyle w:val="Compact"/>
              <w:jc w:val="left"/>
            </w:pPr>
            <w:r>
              <w:t xml:space="preserve">VEI</w:t>
            </w:r>
          </w:p>
        </w:tc>
        <w:tc>
          <w:tcPr/>
          <w:p>
            <w:pPr>
              <w:pStyle w:val="Compact"/>
              <w:jc w:val="center"/>
            </w:pPr>
            <w:r>
              <w:t xml:space="preserve">9</w:t>
            </w:r>
          </w:p>
        </w:tc>
        <w:tc>
          <w:tcPr/>
          <w:p>
            <w:pPr>
              <w:pStyle w:val="Compact"/>
              <w:jc w:val="center"/>
            </w:pPr>
            <w:r>
              <w:t xml:space="preserve">10</w:t>
            </w:r>
          </w:p>
        </w:tc>
        <w:tc>
          <w:tcPr/>
          <w:p>
            <w:pPr>
              <w:pStyle w:val="Compact"/>
              <w:jc w:val="center"/>
            </w:pPr>
            <w:r>
              <w:t xml:space="preserve">10</w:t>
            </w:r>
          </w:p>
        </w:tc>
        <w:tc>
          <w:tcPr/>
          <w:p>
            <w:pPr>
              <w:pStyle w:val="Compact"/>
              <w:jc w:val="center"/>
            </w:pPr>
            <w:r>
              <w:t xml:space="preserve">9</w:t>
            </w:r>
          </w:p>
        </w:tc>
        <w:tc>
          <w:tcPr/>
          <w:p>
            <w:pPr>
              <w:pStyle w:val="Compact"/>
              <w:jc w:val="center"/>
            </w:pPr>
            <w:r>
              <w:t xml:space="preserve">10</w:t>
            </w:r>
          </w:p>
        </w:tc>
      </w:tr>
      <w:tr>
        <w:tc>
          <w:tcPr/>
          <w:p>
            <w:pPr>
              <w:pStyle w:val="Compact"/>
              <w:jc w:val="left"/>
            </w:pPr>
            <w:r>
              <w:t xml:space="preserve">EVI</w:t>
            </w:r>
          </w:p>
        </w:tc>
        <w:tc>
          <w:tcPr/>
          <w:p>
            <w:pPr>
              <w:pStyle w:val="Compact"/>
              <w:jc w:val="center"/>
            </w:pPr>
            <w:r>
              <w:t xml:space="preserve">10</w:t>
            </w:r>
          </w:p>
        </w:tc>
        <w:tc>
          <w:tcPr/>
          <w:p>
            <w:pPr>
              <w:pStyle w:val="Compact"/>
              <w:jc w:val="center"/>
            </w:pPr>
            <w:r>
              <w:t xml:space="preserve">10</w:t>
            </w:r>
          </w:p>
        </w:tc>
        <w:tc>
          <w:tcPr/>
          <w:p>
            <w:pPr>
              <w:pStyle w:val="Compact"/>
              <w:jc w:val="center"/>
            </w:pPr>
            <w:r>
              <w:t xml:space="preserve">10</w:t>
            </w:r>
          </w:p>
        </w:tc>
        <w:tc>
          <w:tcPr/>
          <w:p>
            <w:pPr>
              <w:pStyle w:val="Compact"/>
              <w:jc w:val="center"/>
            </w:pPr>
            <w:r>
              <w:t xml:space="preserve">10</w:t>
            </w:r>
          </w:p>
        </w:tc>
        <w:tc>
          <w:tcPr/>
          <w:p>
            <w:pPr>
              <w:pStyle w:val="Compact"/>
              <w:jc w:val="center"/>
            </w:pPr>
            <w:r>
              <w:t xml:space="preserve">10</w:t>
            </w:r>
          </w:p>
        </w:tc>
      </w:tr>
      <w:tr>
        <w:tc>
          <w:tcPr/>
          <w:p>
            <w:pPr>
              <w:pStyle w:val="Compact"/>
              <w:jc w:val="left"/>
            </w:pPr>
            <w:r>
              <w:t xml:space="preserve">VVI</w:t>
            </w:r>
          </w:p>
        </w:tc>
        <w:tc>
          <w:tcPr/>
          <w:p>
            <w:pPr>
              <w:pStyle w:val="Compact"/>
              <w:jc w:val="center"/>
            </w:pPr>
            <w:r>
              <w:t xml:space="preserve">10</w:t>
            </w:r>
          </w:p>
        </w:tc>
        <w:tc>
          <w:tcPr/>
          <w:p>
            <w:pPr>
              <w:pStyle w:val="Compact"/>
              <w:jc w:val="center"/>
            </w:pPr>
            <w:r>
              <w:t xml:space="preserve">10</w:t>
            </w:r>
          </w:p>
        </w:tc>
        <w:tc>
          <w:tcPr/>
          <w:p>
            <w:pPr>
              <w:pStyle w:val="Compact"/>
              <w:jc w:val="center"/>
            </w:pPr>
            <w:r>
              <w:t xml:space="preserve">8</w:t>
            </w:r>
          </w:p>
        </w:tc>
        <w:tc>
          <w:tcPr/>
          <w:p>
            <w:pPr>
              <w:pStyle w:val="Compact"/>
              <w:jc w:val="center"/>
            </w:pPr>
            <w:r>
              <w:t xml:space="preserve">10</w:t>
            </w:r>
          </w:p>
        </w:tc>
        <w:tc>
          <w:tcPr/>
          <w:p>
            <w:pPr>
              <w:pStyle w:val="Compact"/>
              <w:jc w:val="center"/>
            </w:pPr>
            <w:r>
              <w:t xml:space="preserve">10</w:t>
            </w:r>
          </w:p>
        </w:tc>
      </w:tr>
      <w:tr>
        <w:tc>
          <w:tcPr/>
          <w:p>
            <w:pPr>
              <w:pStyle w:val="Compact"/>
              <w:jc w:val="left"/>
            </w:pPr>
            <w:r>
              <w:t xml:space="preserve">EEE</w:t>
            </w:r>
          </w:p>
        </w:tc>
        <w:tc>
          <w:tcPr/>
          <w:p>
            <w:pPr>
              <w:pStyle w:val="Compact"/>
              <w:jc w:val="center"/>
            </w:pPr>
            <w:r>
              <w:t xml:space="preserve">5</w:t>
            </w:r>
          </w:p>
        </w:tc>
        <w:tc>
          <w:tcPr/>
          <w:p>
            <w:pPr>
              <w:pStyle w:val="Compact"/>
              <w:jc w:val="center"/>
            </w:pPr>
            <w:r>
              <w:t xml:space="preserve">2</w:t>
            </w:r>
          </w:p>
        </w:tc>
        <w:tc>
          <w:tcPr/>
          <w:p>
            <w:pPr>
              <w:pStyle w:val="Compact"/>
              <w:jc w:val="center"/>
            </w:pPr>
            <w:r>
              <w:t xml:space="preserve">7</w:t>
            </w:r>
          </w:p>
        </w:tc>
        <w:tc>
          <w:tcPr/>
          <w:p>
            <w:pPr>
              <w:pStyle w:val="Compact"/>
              <w:jc w:val="center"/>
            </w:pPr>
            <w:r>
              <w:t xml:space="preserve">10</w:t>
            </w:r>
          </w:p>
        </w:tc>
        <w:tc>
          <w:tcPr/>
          <w:p>
            <w:pPr>
              <w:pStyle w:val="Compact"/>
              <w:jc w:val="center"/>
            </w:pPr>
            <w:r>
              <w:t xml:space="preserve">5</w:t>
            </w:r>
          </w:p>
        </w:tc>
      </w:tr>
      <w:tr>
        <w:tc>
          <w:tcPr/>
          <w:p>
            <w:pPr>
              <w:pStyle w:val="Compact"/>
              <w:jc w:val="left"/>
            </w:pPr>
            <w:r>
              <w:t xml:space="preserve">EVE</w:t>
            </w:r>
          </w:p>
        </w:tc>
        <w:tc>
          <w:tcPr/>
          <w:p>
            <w:pPr>
              <w:pStyle w:val="Compact"/>
              <w:jc w:val="center"/>
            </w:pPr>
            <w:r>
              <w:t xml:space="preserve">4</w:t>
            </w:r>
          </w:p>
        </w:tc>
        <w:tc>
          <w:tcPr/>
          <w:p>
            <w:pPr>
              <w:pStyle w:val="Compact"/>
              <w:jc w:val="center"/>
            </w:pPr>
            <w:r>
              <w:t xml:space="preserve">3</w:t>
            </w:r>
          </w:p>
        </w:tc>
        <w:tc>
          <w:tcPr/>
          <w:p>
            <w:pPr>
              <w:pStyle w:val="Compact"/>
              <w:jc w:val="center"/>
            </w:pPr>
            <w:r>
              <w:t xml:space="preserve">7</w:t>
            </w:r>
          </w:p>
        </w:tc>
        <w:tc>
          <w:tcPr/>
          <w:p>
            <w:pPr>
              <w:pStyle w:val="Compact"/>
              <w:jc w:val="center"/>
            </w:pPr>
            <w:r>
              <w:t xml:space="preserve">5</w:t>
            </w:r>
          </w:p>
        </w:tc>
        <w:tc>
          <w:tcPr/>
          <w:p>
            <w:pPr>
              <w:pStyle w:val="Compact"/>
              <w:jc w:val="center"/>
            </w:pPr>
            <w:r>
              <w:t xml:space="preserve">3</w:t>
            </w:r>
          </w:p>
        </w:tc>
      </w:tr>
      <w:tr>
        <w:tc>
          <w:tcPr/>
          <w:p>
            <w:pPr>
              <w:pStyle w:val="Compact"/>
              <w:jc w:val="left"/>
            </w:pPr>
            <w:r>
              <w:t xml:space="preserve">VEE</w:t>
            </w:r>
          </w:p>
        </w:tc>
        <w:tc>
          <w:tcPr/>
          <w:p>
            <w:pPr>
              <w:pStyle w:val="Compact"/>
              <w:jc w:val="center"/>
            </w:pPr>
            <w:r>
              <w:t xml:space="preserve">5</w:t>
            </w:r>
          </w:p>
        </w:tc>
        <w:tc>
          <w:tcPr/>
          <w:p>
            <w:pPr>
              <w:pStyle w:val="Compact"/>
              <w:jc w:val="center"/>
            </w:pPr>
            <w:r>
              <w:t xml:space="preserve">5</w:t>
            </w:r>
          </w:p>
        </w:tc>
        <w:tc>
          <w:tcPr/>
          <w:p>
            <w:pPr>
              <w:pStyle w:val="Compact"/>
              <w:jc w:val="center"/>
            </w:pPr>
            <w:r>
              <w:t xml:space="preserve">10</w:t>
            </w:r>
          </w:p>
        </w:tc>
        <w:tc>
          <w:tcPr/>
          <w:p>
            <w:pPr>
              <w:pStyle w:val="Compact"/>
              <w:jc w:val="center"/>
            </w:pPr>
            <w:r>
              <w:t xml:space="preserve">4</w:t>
            </w:r>
          </w:p>
        </w:tc>
        <w:tc>
          <w:tcPr/>
          <w:p>
            <w:pPr>
              <w:pStyle w:val="Compact"/>
              <w:jc w:val="center"/>
            </w:pPr>
            <w:r>
              <w:t xml:space="preserve">3</w:t>
            </w:r>
          </w:p>
        </w:tc>
      </w:tr>
      <w:tr>
        <w:tc>
          <w:tcPr/>
          <w:p>
            <w:pPr>
              <w:pStyle w:val="Compact"/>
              <w:jc w:val="left"/>
            </w:pPr>
            <w:r>
              <w:t xml:space="preserve">VVE</w:t>
            </w:r>
          </w:p>
        </w:tc>
        <w:tc>
          <w:tcPr/>
          <w:p>
            <w:pPr>
              <w:pStyle w:val="Compact"/>
              <w:jc w:val="center"/>
            </w:pPr>
            <w:r>
              <w:t xml:space="preserve">3</w:t>
            </w:r>
          </w:p>
        </w:tc>
        <w:tc>
          <w:tcPr/>
          <w:p>
            <w:pPr>
              <w:pStyle w:val="Compact"/>
              <w:jc w:val="center"/>
            </w:pPr>
            <w:r>
              <w:t xml:space="preserve">3</w:t>
            </w:r>
          </w:p>
        </w:tc>
        <w:tc>
          <w:tcPr/>
          <w:p>
            <w:pPr>
              <w:pStyle w:val="Compact"/>
              <w:jc w:val="center"/>
            </w:pPr>
            <w:r>
              <w:t xml:space="preserve">8</w:t>
            </w:r>
          </w:p>
        </w:tc>
        <w:tc>
          <w:tcPr/>
          <w:p>
            <w:pPr>
              <w:pStyle w:val="Compact"/>
              <w:jc w:val="center"/>
            </w:pPr>
            <w:r>
              <w:t xml:space="preserve">4</w:t>
            </w:r>
          </w:p>
        </w:tc>
        <w:tc>
          <w:tcPr/>
          <w:p>
            <w:pPr>
              <w:pStyle w:val="Compact"/>
              <w:jc w:val="center"/>
            </w:pPr>
            <w:r>
              <w:t xml:space="preserve">2</w:t>
            </w:r>
          </w:p>
        </w:tc>
      </w:tr>
      <w:tr>
        <w:tc>
          <w:tcPr/>
          <w:p>
            <w:pPr>
              <w:pStyle w:val="Compact"/>
              <w:jc w:val="left"/>
            </w:pPr>
            <w:r>
              <w:t xml:space="preserve">EEV</w:t>
            </w:r>
          </w:p>
        </w:tc>
        <w:tc>
          <w:tcPr/>
          <w:p>
            <w:pPr>
              <w:pStyle w:val="Compact"/>
              <w:jc w:val="center"/>
            </w:pPr>
            <w:r>
              <w:t xml:space="preserve">5</w:t>
            </w:r>
          </w:p>
        </w:tc>
        <w:tc>
          <w:tcPr/>
          <w:p>
            <w:pPr>
              <w:pStyle w:val="Compact"/>
              <w:jc w:val="center"/>
            </w:pPr>
            <w:r>
              <w:t xml:space="preserve">1</w:t>
            </w:r>
          </w:p>
        </w:tc>
        <w:tc>
          <w:tcPr/>
          <w:p>
            <w:pPr>
              <w:pStyle w:val="Compact"/>
              <w:jc w:val="center"/>
            </w:pPr>
            <w:r>
              <w:t xml:space="preserve">6</w:t>
            </w:r>
          </w:p>
        </w:tc>
        <w:tc>
          <w:tcPr/>
          <w:p>
            <w:pPr>
              <w:pStyle w:val="Compact"/>
              <w:jc w:val="center"/>
            </w:pPr>
            <w:r>
              <w:t xml:space="preserve">4</w:t>
            </w:r>
          </w:p>
        </w:tc>
        <w:tc>
          <w:tcPr/>
          <w:p>
            <w:pPr>
              <w:pStyle w:val="Compact"/>
              <w:jc w:val="center"/>
            </w:pPr>
            <w:r>
              <w:t xml:space="preserve">1</w:t>
            </w:r>
          </w:p>
        </w:tc>
      </w:tr>
      <w:tr>
        <w:tc>
          <w:tcPr/>
          <w:p>
            <w:pPr>
              <w:pStyle w:val="Compact"/>
              <w:jc w:val="left"/>
            </w:pPr>
            <w:r>
              <w:t xml:space="preserve">VEV</w:t>
            </w:r>
          </w:p>
        </w:tc>
        <w:tc>
          <w:tcPr/>
          <w:p>
            <w:pPr>
              <w:pStyle w:val="Compact"/>
              <w:jc w:val="center"/>
            </w:pPr>
            <w:r>
              <w:t xml:space="preserve">2</w:t>
            </w:r>
          </w:p>
        </w:tc>
        <w:tc>
          <w:tcPr/>
          <w:p>
            <w:pPr>
              <w:pStyle w:val="Compact"/>
              <w:jc w:val="center"/>
            </w:pPr>
            <w:r>
              <w:t xml:space="preserve">2</w:t>
            </w:r>
          </w:p>
        </w:tc>
        <w:tc>
          <w:tcPr/>
          <w:p>
            <w:pPr>
              <w:pStyle w:val="Compact"/>
              <w:jc w:val="center"/>
            </w:pPr>
            <w:r>
              <w:t xml:space="preserve">6</w:t>
            </w:r>
          </w:p>
        </w:tc>
        <w:tc>
          <w:tcPr/>
          <w:p>
            <w:pPr>
              <w:pStyle w:val="Compact"/>
              <w:jc w:val="center"/>
            </w:pPr>
            <w:r>
              <w:t xml:space="preserve">2</w:t>
            </w:r>
          </w:p>
        </w:tc>
        <w:tc>
          <w:tcPr/>
          <w:p>
            <w:pPr>
              <w:pStyle w:val="Compact"/>
              <w:jc w:val="center"/>
            </w:pPr>
            <w:r>
              <w:t xml:space="preserve">2</w:t>
            </w:r>
          </w:p>
        </w:tc>
      </w:tr>
      <w:tr>
        <w:tc>
          <w:tcPr/>
          <w:p>
            <w:pPr>
              <w:pStyle w:val="Compact"/>
              <w:jc w:val="left"/>
            </w:pPr>
            <w:r>
              <w:t xml:space="preserve">EVV</w:t>
            </w:r>
          </w:p>
        </w:tc>
        <w:tc>
          <w:tcPr/>
          <w:p>
            <w:pPr>
              <w:pStyle w:val="Compact"/>
              <w:jc w:val="center"/>
            </w:pPr>
            <w:r>
              <w:t xml:space="preserve">4</w:t>
            </w:r>
          </w:p>
        </w:tc>
        <w:tc>
          <w:tcPr/>
          <w:p>
            <w:pPr>
              <w:pStyle w:val="Compact"/>
              <w:jc w:val="center"/>
            </w:pPr>
            <w:r>
              <w:t xml:space="preserve">1</w:t>
            </w:r>
          </w:p>
        </w:tc>
        <w:tc>
          <w:tcPr/>
          <w:p>
            <w:pPr>
              <w:pStyle w:val="Compact"/>
              <w:jc w:val="center"/>
            </w:pPr>
            <w:r>
              <w:t xml:space="preserve">5</w:t>
            </w:r>
          </w:p>
        </w:tc>
        <w:tc>
          <w:tcPr/>
          <w:p>
            <w:pPr>
              <w:pStyle w:val="Compact"/>
              <w:jc w:val="center"/>
            </w:pPr>
            <w:r>
              <w:t xml:space="preserve">4</w:t>
            </w:r>
          </w:p>
        </w:tc>
        <w:tc>
          <w:tcPr/>
          <w:p>
            <w:pPr>
              <w:pStyle w:val="Compact"/>
              <w:jc w:val="center"/>
            </w:pPr>
            <w:r>
              <w:t xml:space="preserve">1</w:t>
            </w:r>
          </w:p>
        </w:tc>
      </w:tr>
      <w:tr>
        <w:tc>
          <w:tcPr/>
          <w:p>
            <w:pPr>
              <w:pStyle w:val="Compact"/>
              <w:jc w:val="left"/>
            </w:pPr>
            <w:r>
              <w:t xml:space="preserve">VVV</w:t>
            </w:r>
          </w:p>
        </w:tc>
        <w:tc>
          <w:tcPr/>
          <w:p>
            <w:pPr>
              <w:pStyle w:val="Compact"/>
              <w:jc w:val="center"/>
            </w:pPr>
            <w:r>
              <w:t xml:space="preserve">2</w:t>
            </w:r>
          </w:p>
        </w:tc>
        <w:tc>
          <w:tcPr/>
          <w:p>
            <w:pPr>
              <w:pStyle w:val="Compact"/>
              <w:jc w:val="center"/>
            </w:pPr>
            <w:r>
              <w:t xml:space="preserve">2</w:t>
            </w:r>
          </w:p>
        </w:tc>
        <w:tc>
          <w:tcPr/>
          <w:p>
            <w:pPr>
              <w:pStyle w:val="Compact"/>
              <w:jc w:val="center"/>
            </w:pPr>
            <w:r>
              <w:t xml:space="preserve">6</w:t>
            </w:r>
          </w:p>
        </w:tc>
        <w:tc>
          <w:tcPr/>
          <w:p>
            <w:pPr>
              <w:pStyle w:val="Compact"/>
              <w:jc w:val="center"/>
            </w:pPr>
            <w:r>
              <w:t xml:space="preserve">2</w:t>
            </w:r>
          </w:p>
        </w:tc>
        <w:tc>
          <w:tcPr/>
          <w:p>
            <w:pPr>
              <w:pStyle w:val="Compact"/>
              <w:jc w:val="center"/>
            </w:pPr>
            <w:r>
              <w:t xml:space="preserve">2</w:t>
            </w:r>
          </w:p>
        </w:tc>
      </w:tr>
      <w:tr>
        <w:tc>
          <w:tcPr/>
          <w:p>
            <w:pPr>
              <w:pStyle w:val="Compact"/>
              <w:jc w:val="left"/>
            </w:pPr>
            <w:r>
              <w:rPr>
                <w:b/>
                <w:bCs/>
              </w:rPr>
              <w:t xml:space="preserve">Median</w:t>
            </w:r>
          </w:p>
        </w:tc>
        <w:tc>
          <w:tcPr/>
          <w:p>
            <w:pPr>
              <w:pStyle w:val="Compact"/>
              <w:jc w:val="center"/>
            </w:pPr>
            <w:r>
              <w:rPr>
                <w:b/>
                <w:bCs/>
              </w:rPr>
              <w:t xml:space="preserve">5</w:t>
            </w:r>
          </w:p>
        </w:tc>
        <w:tc>
          <w:tcPr/>
          <w:p>
            <w:pPr>
              <w:pStyle w:val="Compact"/>
              <w:jc w:val="center"/>
            </w:pPr>
            <w:r>
              <w:rPr>
                <w:b/>
                <w:bCs/>
              </w:rPr>
              <w:t xml:space="preserve">4</w:t>
            </w:r>
          </w:p>
        </w:tc>
        <w:tc>
          <w:tcPr/>
          <w:p>
            <w:pPr>
              <w:pStyle w:val="Compact"/>
              <w:jc w:val="center"/>
            </w:pPr>
            <w:r>
              <w:rPr>
                <w:b/>
                <w:bCs/>
              </w:rPr>
              <w:t xml:space="preserve">8</w:t>
            </w:r>
          </w:p>
        </w:tc>
        <w:tc>
          <w:tcPr/>
          <w:p>
            <w:pPr>
              <w:pStyle w:val="Compact"/>
              <w:jc w:val="center"/>
            </w:pPr>
            <w:r>
              <w:rPr>
                <w:b/>
                <w:bCs/>
              </w:rPr>
              <w:t xml:space="preserve">7</w:t>
            </w:r>
          </w:p>
        </w:tc>
        <w:tc>
          <w:tcPr/>
          <w:p>
            <w:pPr>
              <w:pStyle w:val="Compact"/>
              <w:jc w:val="center"/>
            </w:pPr>
            <w:r>
              <w:rPr>
                <w:b/>
                <w:bCs/>
              </w:rPr>
              <w:t xml:space="preserve">4</w:t>
            </w:r>
          </w:p>
        </w:tc>
      </w:tr>
    </w:tbl>
    <w:p>
      <w:pPr>
        <w:pStyle w:val="BodyText"/>
      </w:pPr>
      <w:r>
        <w:rPr>
          <w:b/>
          <w:bCs/>
        </w:rPr>
        <w:t xml:space="preserve">Table S2.</w:t>
      </w:r>
      <w:r>
        <w:t xml:space="preserve"> </w:t>
      </w:r>
      <w:r>
        <w:t xml:space="preserve">Comparison Curve Fit Index for each trait under MAMBAC and MAXEIG, their mean (the statistic plotted in</w:t>
      </w:r>
      <w:r>
        <w:t xml:space="preserve"> </w:t>
      </w:r>
      <w:hyperlink w:anchor="fig-ccfi">
        <w:r>
          <w:rPr>
            <w:rStyle w:val="Hyperlink"/>
          </w:rPr>
          <w:t xml:space="preserve">Figure 3</w:t>
        </w:r>
      </w:hyperlink>
      <w:r>
        <w:t xml:space="preserve">), and the supplementary L-Mode curve. Values below .45 indicate dimensional structure, above .55 categorical, ambiguous between. The L-Mode curve is supplementary rather than preregistered (the registered statistic is the MAMBAC-MAXEIG mean); it slightly exceeds .55 for one trait (Emotionality, .559) without changing any registered verdict.</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Trait</w:t>
            </w:r>
          </w:p>
        </w:tc>
        <w:tc>
          <w:tcPr/>
          <w:p>
            <w:pPr>
              <w:pStyle w:val="Compact"/>
              <w:jc w:val="center"/>
            </w:pPr>
            <w:r>
              <w:t xml:space="preserve">MAMBAC</w:t>
            </w:r>
          </w:p>
        </w:tc>
        <w:tc>
          <w:tcPr/>
          <w:p>
            <w:pPr>
              <w:pStyle w:val="Compact"/>
              <w:jc w:val="center"/>
            </w:pPr>
            <w:r>
              <w:t xml:space="preserve">MAXEIG</w:t>
            </w:r>
          </w:p>
        </w:tc>
        <w:tc>
          <w:tcPr/>
          <w:p>
            <w:pPr>
              <w:pStyle w:val="Compact"/>
              <w:jc w:val="center"/>
            </w:pPr>
            <w:r>
              <w:t xml:space="preserve">Mean</w:t>
            </w:r>
          </w:p>
        </w:tc>
        <w:tc>
          <w:tcPr/>
          <w:p>
            <w:pPr>
              <w:pStyle w:val="Compact"/>
              <w:jc w:val="center"/>
            </w:pPr>
            <w:r>
              <w:t xml:space="preserve">L-Mode</w:t>
            </w:r>
          </w:p>
        </w:tc>
      </w:tr>
      <w:tr>
        <w:tc>
          <w:tcPr/>
          <w:p>
            <w:pPr>
              <w:pStyle w:val="Compact"/>
              <w:jc w:val="left"/>
            </w:pPr>
            <w:r>
              <w:t xml:space="preserve">NEO-120 Neuroticism</w:t>
            </w:r>
          </w:p>
        </w:tc>
        <w:tc>
          <w:tcPr/>
          <w:p>
            <w:pPr>
              <w:pStyle w:val="Compact"/>
              <w:jc w:val="center"/>
            </w:pPr>
            <w:r>
              <w:t xml:space="preserve">.281</w:t>
            </w:r>
          </w:p>
        </w:tc>
        <w:tc>
          <w:tcPr/>
          <w:p>
            <w:pPr>
              <w:pStyle w:val="Compact"/>
              <w:jc w:val="center"/>
            </w:pPr>
            <w:r>
              <w:t xml:space="preserve">.301</w:t>
            </w:r>
          </w:p>
        </w:tc>
        <w:tc>
          <w:tcPr/>
          <w:p>
            <w:pPr>
              <w:pStyle w:val="Compact"/>
              <w:jc w:val="center"/>
            </w:pPr>
            <w:r>
              <w:t xml:space="preserve">.291</w:t>
            </w:r>
          </w:p>
        </w:tc>
        <w:tc>
          <w:tcPr/>
          <w:p>
            <w:pPr>
              <w:pStyle w:val="Compact"/>
              <w:jc w:val="center"/>
            </w:pPr>
            <w:r>
              <w:t xml:space="preserve">.316</w:t>
            </w:r>
          </w:p>
        </w:tc>
      </w:tr>
      <w:tr>
        <w:tc>
          <w:tcPr/>
          <w:p>
            <w:pPr>
              <w:pStyle w:val="Compact"/>
              <w:jc w:val="left"/>
            </w:pPr>
            <w:r>
              <w:t xml:space="preserve">NEO-120 Extraversion</w:t>
            </w:r>
          </w:p>
        </w:tc>
        <w:tc>
          <w:tcPr/>
          <w:p>
            <w:pPr>
              <w:pStyle w:val="Compact"/>
              <w:jc w:val="center"/>
            </w:pPr>
            <w:r>
              <w:t xml:space="preserve">.450</w:t>
            </w:r>
          </w:p>
        </w:tc>
        <w:tc>
          <w:tcPr/>
          <w:p>
            <w:pPr>
              <w:pStyle w:val="Compact"/>
              <w:jc w:val="center"/>
            </w:pPr>
            <w:r>
              <w:t xml:space="preserve">.346</w:t>
            </w:r>
          </w:p>
        </w:tc>
        <w:tc>
          <w:tcPr/>
          <w:p>
            <w:pPr>
              <w:pStyle w:val="Compact"/>
              <w:jc w:val="center"/>
            </w:pPr>
            <w:r>
              <w:t xml:space="preserve">.398</w:t>
            </w:r>
          </w:p>
        </w:tc>
        <w:tc>
          <w:tcPr/>
          <w:p>
            <w:pPr>
              <w:pStyle w:val="Compact"/>
              <w:jc w:val="center"/>
            </w:pPr>
            <w:r>
              <w:t xml:space="preserve">.385</w:t>
            </w:r>
          </w:p>
        </w:tc>
      </w:tr>
      <w:tr>
        <w:tc>
          <w:tcPr/>
          <w:p>
            <w:pPr>
              <w:pStyle w:val="Compact"/>
              <w:jc w:val="left"/>
            </w:pPr>
            <w:r>
              <w:t xml:space="preserve">NEO-120 Openness</w:t>
            </w:r>
          </w:p>
        </w:tc>
        <w:tc>
          <w:tcPr/>
          <w:p>
            <w:pPr>
              <w:pStyle w:val="Compact"/>
              <w:jc w:val="center"/>
            </w:pPr>
            <w:r>
              <w:t xml:space="preserve">.644</w:t>
            </w:r>
          </w:p>
        </w:tc>
        <w:tc>
          <w:tcPr/>
          <w:p>
            <w:pPr>
              <w:pStyle w:val="Compact"/>
              <w:jc w:val="center"/>
            </w:pPr>
            <w:r>
              <w:t xml:space="preserve">.425</w:t>
            </w:r>
          </w:p>
        </w:tc>
        <w:tc>
          <w:tcPr/>
          <w:p>
            <w:pPr>
              <w:pStyle w:val="Compact"/>
              <w:jc w:val="center"/>
            </w:pPr>
            <w:r>
              <w:t xml:space="preserve">.535</w:t>
            </w:r>
          </w:p>
        </w:tc>
        <w:tc>
          <w:tcPr/>
          <w:p>
            <w:pPr>
              <w:pStyle w:val="Compact"/>
              <w:jc w:val="center"/>
            </w:pPr>
            <w:r>
              <w:t xml:space="preserve">.364</w:t>
            </w:r>
          </w:p>
        </w:tc>
      </w:tr>
      <w:tr>
        <w:tc>
          <w:tcPr/>
          <w:p>
            <w:pPr>
              <w:pStyle w:val="Compact"/>
              <w:jc w:val="left"/>
            </w:pPr>
            <w:r>
              <w:t xml:space="preserve">NEO-120 Agreeableness</w:t>
            </w:r>
          </w:p>
        </w:tc>
        <w:tc>
          <w:tcPr/>
          <w:p>
            <w:pPr>
              <w:pStyle w:val="Compact"/>
              <w:jc w:val="center"/>
            </w:pPr>
            <w:r>
              <w:t xml:space="preserve">.548</w:t>
            </w:r>
          </w:p>
        </w:tc>
        <w:tc>
          <w:tcPr/>
          <w:p>
            <w:pPr>
              <w:pStyle w:val="Compact"/>
              <w:jc w:val="center"/>
            </w:pPr>
            <w:r>
              <w:t xml:space="preserve">.311</w:t>
            </w:r>
          </w:p>
        </w:tc>
        <w:tc>
          <w:tcPr/>
          <w:p>
            <w:pPr>
              <w:pStyle w:val="Compact"/>
              <w:jc w:val="center"/>
            </w:pPr>
            <w:r>
              <w:t xml:space="preserve">.430</w:t>
            </w:r>
          </w:p>
        </w:tc>
        <w:tc>
          <w:tcPr/>
          <w:p>
            <w:pPr>
              <w:pStyle w:val="Compact"/>
              <w:jc w:val="center"/>
            </w:pPr>
            <w:r>
              <w:t xml:space="preserve">.491</w:t>
            </w:r>
          </w:p>
        </w:tc>
      </w:tr>
      <w:tr>
        <w:tc>
          <w:tcPr/>
          <w:p>
            <w:pPr>
              <w:pStyle w:val="Compact"/>
              <w:jc w:val="left"/>
            </w:pPr>
            <w:r>
              <w:t xml:space="preserve">NEO-120 Conscientiousness</w:t>
            </w:r>
          </w:p>
        </w:tc>
        <w:tc>
          <w:tcPr/>
          <w:p>
            <w:pPr>
              <w:pStyle w:val="Compact"/>
              <w:jc w:val="center"/>
            </w:pPr>
            <w:r>
              <w:t xml:space="preserve">.185</w:t>
            </w:r>
          </w:p>
        </w:tc>
        <w:tc>
          <w:tcPr/>
          <w:p>
            <w:pPr>
              <w:pStyle w:val="Compact"/>
              <w:jc w:val="center"/>
            </w:pPr>
            <w:r>
              <w:t xml:space="preserve">.253</w:t>
            </w:r>
          </w:p>
        </w:tc>
        <w:tc>
          <w:tcPr/>
          <w:p>
            <w:pPr>
              <w:pStyle w:val="Compact"/>
              <w:jc w:val="center"/>
            </w:pPr>
            <w:r>
              <w:t xml:space="preserve">.219</w:t>
            </w:r>
          </w:p>
        </w:tc>
        <w:tc>
          <w:tcPr/>
          <w:p>
            <w:pPr>
              <w:pStyle w:val="Compact"/>
              <w:jc w:val="center"/>
            </w:pPr>
            <w:r>
              <w:t xml:space="preserve">.391</w:t>
            </w:r>
          </w:p>
        </w:tc>
      </w:tr>
      <w:tr>
        <w:tc>
          <w:tcPr/>
          <w:p>
            <w:pPr>
              <w:pStyle w:val="Compact"/>
              <w:jc w:val="left"/>
            </w:pPr>
            <w:r>
              <w:t xml:space="preserve">HEXACO Honesty-Humility</w:t>
            </w:r>
          </w:p>
        </w:tc>
        <w:tc>
          <w:tcPr/>
          <w:p>
            <w:pPr>
              <w:pStyle w:val="Compact"/>
              <w:jc w:val="center"/>
            </w:pPr>
            <w:r>
              <w:t xml:space="preserve">.537</w:t>
            </w:r>
          </w:p>
        </w:tc>
        <w:tc>
          <w:tcPr/>
          <w:p>
            <w:pPr>
              <w:pStyle w:val="Compact"/>
              <w:jc w:val="center"/>
            </w:pPr>
            <w:r>
              <w:t xml:space="preserve">.504</w:t>
            </w:r>
          </w:p>
        </w:tc>
        <w:tc>
          <w:tcPr/>
          <w:p>
            <w:pPr>
              <w:pStyle w:val="Compact"/>
              <w:jc w:val="center"/>
            </w:pPr>
            <w:r>
              <w:t xml:space="preserve">.520</w:t>
            </w:r>
          </w:p>
        </w:tc>
        <w:tc>
          <w:tcPr/>
          <w:p>
            <w:pPr>
              <w:pStyle w:val="Compact"/>
              <w:jc w:val="center"/>
            </w:pPr>
            <w:r>
              <w:t xml:space="preserve">.541</w:t>
            </w:r>
          </w:p>
        </w:tc>
      </w:tr>
      <w:tr>
        <w:tc>
          <w:tcPr/>
          <w:p>
            <w:pPr>
              <w:pStyle w:val="Compact"/>
              <w:jc w:val="left"/>
            </w:pPr>
            <w:r>
              <w:t xml:space="preserve">HEXACO Emotionality</w:t>
            </w:r>
          </w:p>
        </w:tc>
        <w:tc>
          <w:tcPr/>
          <w:p>
            <w:pPr>
              <w:pStyle w:val="Compact"/>
              <w:jc w:val="center"/>
            </w:pPr>
            <w:r>
              <w:t xml:space="preserve">.390</w:t>
            </w:r>
          </w:p>
        </w:tc>
        <w:tc>
          <w:tcPr/>
          <w:p>
            <w:pPr>
              <w:pStyle w:val="Compact"/>
              <w:jc w:val="center"/>
            </w:pPr>
            <w:r>
              <w:t xml:space="preserve">.540</w:t>
            </w:r>
          </w:p>
        </w:tc>
        <w:tc>
          <w:tcPr/>
          <w:p>
            <w:pPr>
              <w:pStyle w:val="Compact"/>
              <w:jc w:val="center"/>
            </w:pPr>
            <w:r>
              <w:t xml:space="preserve">.465</w:t>
            </w:r>
          </w:p>
        </w:tc>
        <w:tc>
          <w:tcPr/>
          <w:p>
            <w:pPr>
              <w:pStyle w:val="Compact"/>
              <w:jc w:val="center"/>
            </w:pPr>
            <w:r>
              <w:t xml:space="preserve">.559</w:t>
            </w:r>
          </w:p>
        </w:tc>
      </w:tr>
      <w:tr>
        <w:tc>
          <w:tcPr/>
          <w:p>
            <w:pPr>
              <w:pStyle w:val="Compact"/>
              <w:jc w:val="left"/>
            </w:pPr>
            <w:r>
              <w:t xml:space="preserve">HEXACO eXtraversion</w:t>
            </w:r>
          </w:p>
        </w:tc>
        <w:tc>
          <w:tcPr/>
          <w:p>
            <w:pPr>
              <w:pStyle w:val="Compact"/>
              <w:jc w:val="center"/>
            </w:pPr>
            <w:r>
              <w:t xml:space="preserve">.373</w:t>
            </w:r>
          </w:p>
        </w:tc>
        <w:tc>
          <w:tcPr/>
          <w:p>
            <w:pPr>
              <w:pStyle w:val="Compact"/>
              <w:jc w:val="center"/>
            </w:pPr>
            <w:r>
              <w:t xml:space="preserve">.268</w:t>
            </w:r>
          </w:p>
        </w:tc>
        <w:tc>
          <w:tcPr/>
          <w:p>
            <w:pPr>
              <w:pStyle w:val="Compact"/>
              <w:jc w:val="center"/>
            </w:pPr>
            <w:r>
              <w:t xml:space="preserve">.321</w:t>
            </w:r>
          </w:p>
        </w:tc>
        <w:tc>
          <w:tcPr/>
          <w:p>
            <w:pPr>
              <w:pStyle w:val="Compact"/>
              <w:jc w:val="center"/>
            </w:pPr>
            <w:r>
              <w:t xml:space="preserve">.344</w:t>
            </w:r>
          </w:p>
        </w:tc>
      </w:tr>
      <w:tr>
        <w:tc>
          <w:tcPr/>
          <w:p>
            <w:pPr>
              <w:pStyle w:val="Compact"/>
              <w:jc w:val="left"/>
            </w:pPr>
            <w:r>
              <w:t xml:space="preserve">HEXACO Agreeableness</w:t>
            </w:r>
          </w:p>
        </w:tc>
        <w:tc>
          <w:tcPr/>
          <w:p>
            <w:pPr>
              <w:pStyle w:val="Compact"/>
              <w:jc w:val="center"/>
            </w:pPr>
            <w:r>
              <w:t xml:space="preserve">.385</w:t>
            </w:r>
          </w:p>
        </w:tc>
        <w:tc>
          <w:tcPr/>
          <w:p>
            <w:pPr>
              <w:pStyle w:val="Compact"/>
              <w:jc w:val="center"/>
            </w:pPr>
            <w:r>
              <w:t xml:space="preserve">.564</w:t>
            </w:r>
          </w:p>
        </w:tc>
        <w:tc>
          <w:tcPr/>
          <w:p>
            <w:pPr>
              <w:pStyle w:val="Compact"/>
              <w:jc w:val="center"/>
            </w:pPr>
            <w:r>
              <w:t xml:space="preserve">.475</w:t>
            </w:r>
          </w:p>
        </w:tc>
        <w:tc>
          <w:tcPr/>
          <w:p>
            <w:pPr>
              <w:pStyle w:val="Compact"/>
              <w:jc w:val="center"/>
            </w:pPr>
            <w:r>
              <w:t xml:space="preserve">.471</w:t>
            </w:r>
          </w:p>
        </w:tc>
      </w:tr>
      <w:tr>
        <w:tc>
          <w:tcPr/>
          <w:p>
            <w:pPr>
              <w:pStyle w:val="Compact"/>
              <w:jc w:val="left"/>
            </w:pPr>
            <w:r>
              <w:t xml:space="preserve">HEXACO Conscientiousness</w:t>
            </w:r>
          </w:p>
        </w:tc>
        <w:tc>
          <w:tcPr/>
          <w:p>
            <w:pPr>
              <w:pStyle w:val="Compact"/>
              <w:jc w:val="center"/>
            </w:pPr>
            <w:r>
              <w:t xml:space="preserve">.240</w:t>
            </w:r>
          </w:p>
        </w:tc>
        <w:tc>
          <w:tcPr/>
          <w:p>
            <w:pPr>
              <w:pStyle w:val="Compact"/>
              <w:jc w:val="center"/>
            </w:pPr>
            <w:r>
              <w:t xml:space="preserve">.562</w:t>
            </w:r>
          </w:p>
        </w:tc>
        <w:tc>
          <w:tcPr/>
          <w:p>
            <w:pPr>
              <w:pStyle w:val="Compact"/>
              <w:jc w:val="center"/>
            </w:pPr>
            <w:r>
              <w:t xml:space="preserve">.401</w:t>
            </w:r>
          </w:p>
        </w:tc>
        <w:tc>
          <w:tcPr/>
          <w:p>
            <w:pPr>
              <w:pStyle w:val="Compact"/>
              <w:jc w:val="center"/>
            </w:pPr>
            <w:r>
              <w:t xml:space="preserve">.542</w:t>
            </w:r>
          </w:p>
        </w:tc>
      </w:tr>
      <w:tr>
        <w:tc>
          <w:tcPr/>
          <w:p>
            <w:pPr>
              <w:pStyle w:val="Compact"/>
              <w:jc w:val="left"/>
            </w:pPr>
            <w:r>
              <w:t xml:space="preserve">HEXACO Openness</w:t>
            </w:r>
          </w:p>
        </w:tc>
        <w:tc>
          <w:tcPr/>
          <w:p>
            <w:pPr>
              <w:pStyle w:val="Compact"/>
              <w:jc w:val="center"/>
            </w:pPr>
            <w:r>
              <w:t xml:space="preserve">.302</w:t>
            </w:r>
          </w:p>
        </w:tc>
        <w:tc>
          <w:tcPr/>
          <w:p>
            <w:pPr>
              <w:pStyle w:val="Compact"/>
              <w:jc w:val="center"/>
            </w:pPr>
            <w:r>
              <w:t xml:space="preserve">.496</w:t>
            </w:r>
          </w:p>
        </w:tc>
        <w:tc>
          <w:tcPr/>
          <w:p>
            <w:pPr>
              <w:pStyle w:val="Compact"/>
              <w:jc w:val="center"/>
            </w:pPr>
            <w:r>
              <w:t xml:space="preserve">.399</w:t>
            </w:r>
          </w:p>
        </w:tc>
        <w:tc>
          <w:tcPr/>
          <w:p>
            <w:pPr>
              <w:pStyle w:val="Compact"/>
              <w:jc w:val="center"/>
            </w:pPr>
            <w:r>
              <w:t xml:space="preserve">.546</w:t>
            </w:r>
          </w:p>
        </w:tc>
      </w:tr>
    </w:tbl>
    <w:p>
      <w:pPr>
        <w:pStyle w:val="BodyText"/>
      </w:pPr>
      <w:r>
        <w:rPr>
          <w:b/>
          <w:bCs/>
        </w:rPr>
        <w:t xml:space="preserve">Table S3.</w:t>
      </w:r>
      <w:r>
        <w:t xml:space="preserve"> </w:t>
      </w:r>
      <w:r>
        <w:t xml:space="preserve">The count test under a second clustering engine. Each held-out domain dataset was tested with two engines of different paradigm and count rule: the Gaussian mixture of the worked example (median BIC-selected components over the fourteen covariance models; 200 null replicates) and k-means with a gap-statistic count (40 null replicates, an independently drawn subsample of the same size, n = 8,000). The k-means arm is a robustness demonstration rather than a registered analysis; the comparison is qualitative, each engine’s real count against its own null, and the verdict is unchanged under the smaller replicate count and the independent subsample.</w:t>
      </w:r>
    </w:p>
    <w:tbl>
      <w:tblPr>
        <w:tblStyle w:val="Table"/>
        <w:tblW w:type="pct" w:w="5000"/>
        <w:tblLayout w:type="fixed"/>
        <w:tblLook w:firstRow="1" w:lastRow="0" w:firstColumn="0" w:lastColumn="0" w:noHBand="0" w:noVBand="0" w:val="0020"/>
      </w:tblPr>
      <w:tblGrid>
        <w:gridCol w:w="2160"/>
        <w:gridCol w:w="2880"/>
        <w:gridCol w:w="2880"/>
      </w:tblGrid>
      <w:tr>
        <w:trPr>
          <w:tblHeader w:val="on"/>
        </w:trPr>
        <w:tc>
          <w:tcPr/>
          <w:p>
            <w:pPr>
              <w:pStyle w:val="Compact"/>
              <w:jc w:val="left"/>
            </w:pPr>
            <w:r>
              <w:t xml:space="preserve">Dataset</w:t>
            </w:r>
          </w:p>
        </w:tc>
        <w:tc>
          <w:tcPr/>
          <w:p>
            <w:pPr>
              <w:pStyle w:val="Compact"/>
              <w:jc w:val="center"/>
            </w:pPr>
            <w:r>
              <w:t xml:space="preserve">Gaussian mixture: real (null 95%)</w:t>
            </w:r>
          </w:p>
        </w:tc>
        <w:tc>
          <w:tcPr/>
          <w:p>
            <w:pPr>
              <w:pStyle w:val="Compact"/>
              <w:jc w:val="center"/>
            </w:pPr>
            <w:r>
              <w:t xml:space="preserve">k-means: real (null 95%)</w:t>
            </w:r>
          </w:p>
        </w:tc>
      </w:tr>
      <w:tr>
        <w:tc>
          <w:tcPr/>
          <w:p>
            <w:pPr>
              <w:pStyle w:val="Compact"/>
              <w:jc w:val="left"/>
            </w:pPr>
            <w:r>
              <w:t xml:space="preserve">NEO-120 dom.</w:t>
            </w:r>
          </w:p>
        </w:tc>
        <w:tc>
          <w:tcPr/>
          <w:p>
            <w:pPr>
              <w:pStyle w:val="Compact"/>
              <w:jc w:val="center"/>
            </w:pPr>
            <w:r>
              <w:t xml:space="preserve">5 ([4.0, 7.0])</w:t>
            </w:r>
          </w:p>
        </w:tc>
        <w:tc>
          <w:tcPr/>
          <w:p>
            <w:pPr>
              <w:pStyle w:val="Compact"/>
              <w:jc w:val="center"/>
            </w:pPr>
            <w:r>
              <w:t xml:space="preserve">1 ([1.0, 2.0])</w:t>
            </w:r>
          </w:p>
        </w:tc>
      </w:tr>
      <w:tr>
        <w:tc>
          <w:tcPr/>
          <w:p>
            <w:pPr>
              <w:pStyle w:val="Compact"/>
              <w:jc w:val="left"/>
            </w:pPr>
            <w:r>
              <w:t xml:space="preserve">IPIP-50 dom.</w:t>
            </w:r>
          </w:p>
        </w:tc>
        <w:tc>
          <w:tcPr/>
          <w:p>
            <w:pPr>
              <w:pStyle w:val="Compact"/>
              <w:jc w:val="center"/>
            </w:pPr>
            <w:r>
              <w:t xml:space="preserve">8 ([6.0, 9.0])</w:t>
            </w:r>
          </w:p>
        </w:tc>
        <w:tc>
          <w:tcPr/>
          <w:p>
            <w:pPr>
              <w:pStyle w:val="Compact"/>
              <w:jc w:val="center"/>
            </w:pPr>
            <w:r>
              <w:t xml:space="preserve">1 ([1.0, 2.0])</w:t>
            </w:r>
          </w:p>
        </w:tc>
      </w:tr>
      <w:tr>
        <w:tc>
          <w:tcPr/>
          <w:p>
            <w:pPr>
              <w:pStyle w:val="Compact"/>
              <w:jc w:val="left"/>
            </w:pPr>
            <w:r>
              <w:t xml:space="preserve">HEXACO dom.</w:t>
            </w:r>
          </w:p>
        </w:tc>
        <w:tc>
          <w:tcPr/>
          <w:p>
            <w:pPr>
              <w:pStyle w:val="Compact"/>
              <w:jc w:val="center"/>
            </w:pPr>
            <w:r>
              <w:t xml:space="preserve">7 ([3.5, 7.5])</w:t>
            </w:r>
          </w:p>
        </w:tc>
        <w:tc>
          <w:tcPr/>
          <w:p>
            <w:pPr>
              <w:pStyle w:val="Compact"/>
              <w:jc w:val="center"/>
            </w:pPr>
            <w:r>
              <w:t xml:space="preserve">1 ([1.0, 2.0])</w:t>
            </w:r>
          </w:p>
        </w:tc>
      </w:tr>
    </w:tbl>
    <w:p>
      <w:pPr>
        <w:pStyle w:val="BodyText"/>
      </w:pPr>
      <w:r>
        <w:rPr>
          <w:b/>
          <w:bCs/>
        </w:rPr>
        <w:t xml:space="preserve">Table S4.</w:t>
      </w:r>
      <w:r>
        <w:t xml:space="preserve"> </w:t>
      </w:r>
      <w:r>
        <w:t xml:space="preserve">Power of the count test as irrelevant dimensions are added. Data as in the dependence regime of</w:t>
      </w:r>
      <w:r>
        <w:t xml:space="preserve"> </w:t>
      </w:r>
      <w:hyperlink w:anchor="fig-pc">
        <w:r>
          <w:rPr>
            <w:rStyle w:val="Hyperlink"/>
          </w:rPr>
          <w:t xml:space="preserve">Figure 1</w:t>
        </w:r>
      </w:hyperlink>
      <w:r>
        <w:t xml:space="preserve">: two components with identical standard-normal margins whose within-pair correlations (dimensions 1-4 only) differ in sign by 2</w:t>
      </w:r>
      <w:r>
        <w:rPr>
          <w:i/>
          <w:iCs/>
        </w:rPr>
        <w:t xml:space="preserve">rho</w:t>
      </w:r>
      <w:r>
        <w:t xml:space="preserve">; dimensions 5 through</w:t>
      </w:r>
      <w:r>
        <w:t xml:space="preserve"> </w:t>
      </w:r>
      <w:r>
        <w:rPr>
          <w:i/>
          <w:iCs/>
        </w:rPr>
        <w:t xml:space="preserve">p</w:t>
      </w:r>
      <w:r>
        <w:t xml:space="preserve"> </w:t>
      </w:r>
      <w:r>
        <w:t xml:space="preserve">are independent noise. n = 4,000; 40 null replicates per cell; the entry is the real median count against the null’s 95% interval, with detection marked *.</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p>
        </w:tc>
        <w:tc>
          <w:tcPr/>
          <w:p>
            <w:pPr>
              <w:pStyle w:val="Compact"/>
              <w:jc w:val="center"/>
            </w:pPr>
            <w:r>
              <w:t xml:space="preserve">rho = 0</w:t>
            </w:r>
          </w:p>
        </w:tc>
        <w:tc>
          <w:tcPr/>
          <w:p>
            <w:pPr>
              <w:pStyle w:val="Compact"/>
              <w:jc w:val="center"/>
            </w:pPr>
            <w:r>
              <w:t xml:space="preserve">.30</w:t>
            </w:r>
          </w:p>
        </w:tc>
        <w:tc>
          <w:tcPr/>
          <w:p>
            <w:pPr>
              <w:pStyle w:val="Compact"/>
              <w:jc w:val="center"/>
            </w:pPr>
            <w:r>
              <w:t xml:space="preserve">.50</w:t>
            </w:r>
          </w:p>
        </w:tc>
        <w:tc>
          <w:tcPr/>
          <w:p>
            <w:pPr>
              <w:pStyle w:val="Compact"/>
              <w:jc w:val="center"/>
            </w:pPr>
            <w:r>
              <w:t xml:space="preserve">.70</w:t>
            </w:r>
          </w:p>
        </w:tc>
        <w:tc>
          <w:tcPr/>
          <w:p>
            <w:pPr>
              <w:pStyle w:val="Compact"/>
              <w:jc w:val="center"/>
            </w:pPr>
            <w:r>
              <w:t xml:space="preserve">.85</w:t>
            </w:r>
          </w:p>
        </w:tc>
      </w:tr>
      <w:tr>
        <w:tc>
          <w:tcPr/>
          <w:p>
            <w:pPr>
              <w:pStyle w:val="Compact"/>
              <w:jc w:val="left"/>
            </w:pPr>
            <w:r>
              <w:t xml:space="preserve">p = 5</w:t>
            </w:r>
          </w:p>
        </w:tc>
        <w:tc>
          <w:tcPr/>
          <w:p>
            <w:pPr>
              <w:pStyle w:val="Compact"/>
              <w:jc w:val="center"/>
            </w:pPr>
            <w:r>
              <w:t xml:space="preserve">1 [1, 1]</w:t>
            </w:r>
          </w:p>
        </w:tc>
        <w:tc>
          <w:tcPr/>
          <w:p>
            <w:pPr>
              <w:pStyle w:val="Compact"/>
              <w:jc w:val="center"/>
            </w:pPr>
            <w:r>
              <w:t xml:space="preserve">1 [1, 1]</w:t>
            </w:r>
          </w:p>
        </w:tc>
        <w:tc>
          <w:tcPr/>
          <w:p>
            <w:pPr>
              <w:pStyle w:val="Compact"/>
              <w:jc w:val="center"/>
            </w:pPr>
            <w:r>
              <w:t xml:space="preserve">2 [1, 1]*</w:t>
            </w:r>
          </w:p>
        </w:tc>
        <w:tc>
          <w:tcPr/>
          <w:p>
            <w:pPr>
              <w:pStyle w:val="Compact"/>
              <w:jc w:val="center"/>
            </w:pPr>
            <w:r>
              <w:t xml:space="preserve">9 [1, 1]*</w:t>
            </w:r>
          </w:p>
        </w:tc>
        <w:tc>
          <w:tcPr/>
          <w:p>
            <w:pPr>
              <w:pStyle w:val="Compact"/>
              <w:jc w:val="center"/>
            </w:pPr>
            <w:r>
              <w:t xml:space="preserve">9.5 [1, 1]*</w:t>
            </w:r>
          </w:p>
        </w:tc>
      </w:tr>
      <w:tr>
        <w:tc>
          <w:tcPr/>
          <w:p>
            <w:pPr>
              <w:pStyle w:val="Compact"/>
              <w:jc w:val="left"/>
            </w:pPr>
            <w:r>
              <w:t xml:space="preserve">p = 10</w:t>
            </w:r>
          </w:p>
        </w:tc>
        <w:tc>
          <w:tcPr/>
          <w:p>
            <w:pPr>
              <w:pStyle w:val="Compact"/>
              <w:jc w:val="center"/>
            </w:pPr>
            <w:r>
              <w:t xml:space="preserve">1 [1, 1]</w:t>
            </w:r>
          </w:p>
        </w:tc>
        <w:tc>
          <w:tcPr/>
          <w:p>
            <w:pPr>
              <w:pStyle w:val="Compact"/>
              <w:jc w:val="center"/>
            </w:pPr>
            <w:r>
              <w:t xml:space="preserve">1 [1, 1]</w:t>
            </w:r>
          </w:p>
        </w:tc>
        <w:tc>
          <w:tcPr/>
          <w:p>
            <w:pPr>
              <w:pStyle w:val="Compact"/>
              <w:jc w:val="center"/>
            </w:pPr>
            <w:r>
              <w:t xml:space="preserve">1 [1, 1]</w:t>
            </w:r>
          </w:p>
        </w:tc>
        <w:tc>
          <w:tcPr/>
          <w:p>
            <w:pPr>
              <w:pStyle w:val="Compact"/>
              <w:jc w:val="center"/>
            </w:pPr>
            <w:r>
              <w:t xml:space="preserve">2 [1, 1]*</w:t>
            </w:r>
          </w:p>
        </w:tc>
        <w:tc>
          <w:tcPr/>
          <w:p>
            <w:pPr>
              <w:pStyle w:val="Compact"/>
              <w:jc w:val="center"/>
            </w:pPr>
            <w:r>
              <w:t xml:space="preserve">2 [1, 1]*</w:t>
            </w:r>
          </w:p>
        </w:tc>
      </w:tr>
      <w:tr>
        <w:tc>
          <w:tcPr/>
          <w:p>
            <w:pPr>
              <w:pStyle w:val="Compact"/>
              <w:jc w:val="left"/>
            </w:pPr>
            <w:r>
              <w:t xml:space="preserve">p = 20</w:t>
            </w:r>
          </w:p>
        </w:tc>
        <w:tc>
          <w:tcPr/>
          <w:p>
            <w:pPr>
              <w:pStyle w:val="Compact"/>
              <w:jc w:val="center"/>
            </w:pPr>
            <w:r>
              <w:t xml:space="preserve">1 [1, 1]</w:t>
            </w:r>
          </w:p>
        </w:tc>
        <w:tc>
          <w:tcPr/>
          <w:p>
            <w:pPr>
              <w:pStyle w:val="Compact"/>
              <w:jc w:val="center"/>
            </w:pPr>
            <w:r>
              <w:t xml:space="preserve">1 [1, 1]</w:t>
            </w:r>
          </w:p>
        </w:tc>
        <w:tc>
          <w:tcPr/>
          <w:p>
            <w:pPr>
              <w:pStyle w:val="Compact"/>
              <w:jc w:val="center"/>
            </w:pPr>
            <w:r>
              <w:t xml:space="preserve">1 [1, 1]</w:t>
            </w:r>
          </w:p>
        </w:tc>
        <w:tc>
          <w:tcPr/>
          <w:p>
            <w:pPr>
              <w:pStyle w:val="Compact"/>
              <w:jc w:val="center"/>
            </w:pPr>
            <w:r>
              <w:t xml:space="preserve">1 [1, 1]</w:t>
            </w:r>
          </w:p>
        </w:tc>
        <w:tc>
          <w:tcPr/>
          <w:p>
            <w:pPr>
              <w:pStyle w:val="Compact"/>
              <w:jc w:val="center"/>
            </w:pPr>
            <w:r>
              <w:t xml:space="preserve">2 [1, 1]*</w:t>
            </w:r>
          </w:p>
        </w:tc>
      </w:tr>
    </w:tbl>
    <w:p>
      <w:pPr>
        <w:pStyle w:val="BodyText"/>
      </w:pPr>
      <w:r>
        <w:rPr>
          <w:b/>
          <w:bCs/>
        </w:rPr>
        <w:t xml:space="preserve">Table S5.</w:t>
      </w:r>
      <w:r>
        <w:t xml:space="preserve"> </w:t>
      </w:r>
      <w:r>
        <w:t xml:space="preserve">What the count test reads as a departure: calibration on typeless data whose margins or dependence are progressively less Gaussian. Each row: 100 datasets (n = 2,000, five variables, correlation matrix from the real NEO-120 domains), 40 copula nulls each; the test fires when the real fourteen-model median exceeds the nulls’ 97.5th percentile (nominal rate 2.5%). Rows 1-2 change only the margins, which the null matches exactly, so the test stays quiet where BIC and the bootstrap LRT do not. Rows 3-4 change the dependence itself (a t copula with tail dependence; margins standard normal), which no margin- and correlation-matched twin can carry, so the test fires by design: the departure is real, and whether it is categorical is settled by the signature checks (on these elliptical, groupless data, they read continuous). The bootstrap LRT was run on 30 datasets per scenario.</w:t>
      </w:r>
    </w:p>
    <w:tbl>
      <w:tblPr>
        <w:tblStyle w:val="Table"/>
        <w:tblW w:type="pct" w:w="5000"/>
        <w:tblLayout w:type="fixed"/>
        <w:tblLook w:firstRow="1" w:lastRow="0" w:firstColumn="0" w:lastColumn="0" w:noHBand="0" w:noVBand="0" w:val="0020"/>
      </w:tblPr>
      <w:tblGrid>
        <w:gridCol w:w="1250"/>
        <w:gridCol w:w="1667"/>
        <w:gridCol w:w="1667"/>
        <w:gridCol w:w="1667"/>
        <w:gridCol w:w="1667"/>
      </w:tblGrid>
      <w:tr>
        <w:trPr>
          <w:tblHeader w:val="on"/>
        </w:trPr>
        <w:tc>
          <w:tcPr/>
          <w:p>
            <w:pPr>
              <w:pStyle w:val="Compact"/>
              <w:jc w:val="left"/>
            </w:pPr>
            <w:r>
              <w:t xml:space="preserve">Typeless scenario</w:t>
            </w:r>
          </w:p>
        </w:tc>
        <w:tc>
          <w:tcPr/>
          <w:p>
            <w:pPr>
              <w:pStyle w:val="Compact"/>
              <w:jc w:val="center"/>
            </w:pPr>
            <w:r>
              <w:t xml:space="preserve">Matched-null test fired</w:t>
            </w:r>
          </w:p>
        </w:tc>
        <w:tc>
          <w:tcPr/>
          <w:p>
            <w:pPr>
              <w:pStyle w:val="Compact"/>
              <w:jc w:val="center"/>
            </w:pPr>
            <w:r>
              <w:t xml:space="preserve">BIC k &gt; 1</w:t>
            </w:r>
          </w:p>
        </w:tc>
        <w:tc>
          <w:tcPr/>
          <w:p>
            <w:pPr>
              <w:pStyle w:val="Compact"/>
              <w:jc w:val="center"/>
            </w:pPr>
            <w:r>
              <w:t xml:space="preserve">gap k &gt; 1</w:t>
            </w:r>
          </w:p>
        </w:tc>
        <w:tc>
          <w:tcPr/>
          <w:p>
            <w:pPr>
              <w:pStyle w:val="Compact"/>
              <w:jc w:val="center"/>
            </w:pPr>
            <w:r>
              <w:t xml:space="preserve">bLRT k &gt; 1</w:t>
            </w:r>
          </w:p>
        </w:tc>
      </w:tr>
      <w:tr>
        <w:tc>
          <w:tcPr/>
          <w:p>
            <w:pPr>
              <w:pStyle w:val="Compact"/>
              <w:jc w:val="left"/>
            </w:pPr>
            <w:r>
              <w:t xml:space="preserve">Gaussian copula, normal margins</w:t>
            </w:r>
          </w:p>
        </w:tc>
        <w:tc>
          <w:tcPr/>
          <w:p>
            <w:pPr>
              <w:pStyle w:val="Compact"/>
              <w:jc w:val="center"/>
            </w:pPr>
            <w:r>
              <w:t xml:space="preserve">0%</w:t>
            </w:r>
          </w:p>
        </w:tc>
        <w:tc>
          <w:tcPr/>
          <w:p>
            <w:pPr>
              <w:pStyle w:val="Compact"/>
              <w:jc w:val="center"/>
            </w:pPr>
            <w:r>
              <w:t xml:space="preserve">0%</w:t>
            </w:r>
          </w:p>
        </w:tc>
        <w:tc>
          <w:tcPr/>
          <w:p>
            <w:pPr>
              <w:pStyle w:val="Compact"/>
              <w:jc w:val="center"/>
            </w:pPr>
            <w:r>
              <w:t xml:space="preserve">1%</w:t>
            </w:r>
          </w:p>
        </w:tc>
        <w:tc>
          <w:tcPr/>
          <w:p>
            <w:pPr>
              <w:pStyle w:val="Compact"/>
              <w:jc w:val="center"/>
            </w:pPr>
            <w:r>
              <w:t xml:space="preserve">0%</w:t>
            </w:r>
          </w:p>
        </w:tc>
      </w:tr>
      <w:tr>
        <w:tc>
          <w:tcPr/>
          <w:p>
            <w:pPr>
              <w:pStyle w:val="Compact"/>
              <w:jc w:val="left"/>
            </w:pPr>
            <w:r>
              <w:t xml:space="preserve">Gaussian copula, skewed margins</w:t>
            </w:r>
          </w:p>
        </w:tc>
        <w:tc>
          <w:tcPr/>
          <w:p>
            <w:pPr>
              <w:pStyle w:val="Compact"/>
              <w:jc w:val="center"/>
            </w:pPr>
            <w:r>
              <w:t xml:space="preserve">0%</w:t>
            </w:r>
          </w:p>
        </w:tc>
        <w:tc>
          <w:tcPr/>
          <w:p>
            <w:pPr>
              <w:pStyle w:val="Compact"/>
              <w:jc w:val="center"/>
            </w:pPr>
            <w:r>
              <w:t xml:space="preserve">100%</w:t>
            </w:r>
          </w:p>
        </w:tc>
        <w:tc>
          <w:tcPr/>
          <w:p>
            <w:pPr>
              <w:pStyle w:val="Compact"/>
              <w:jc w:val="center"/>
            </w:pPr>
            <w:r>
              <w:t xml:space="preserve">1%</w:t>
            </w:r>
          </w:p>
        </w:tc>
        <w:tc>
          <w:tcPr/>
          <w:p>
            <w:pPr>
              <w:pStyle w:val="Compact"/>
              <w:jc w:val="center"/>
            </w:pPr>
            <w:r>
              <w:t xml:space="preserve">100%</w:t>
            </w:r>
          </w:p>
        </w:tc>
      </w:tr>
      <w:tr>
        <w:tc>
          <w:tcPr/>
          <w:p>
            <w:pPr>
              <w:pStyle w:val="Compact"/>
              <w:jc w:val="left"/>
            </w:pPr>
            <w:r>
              <w:t xml:space="preserve">t copula (df = 8), normal margins</w:t>
            </w:r>
          </w:p>
        </w:tc>
        <w:tc>
          <w:tcPr/>
          <w:p>
            <w:pPr>
              <w:pStyle w:val="Compact"/>
              <w:jc w:val="center"/>
            </w:pPr>
            <w:r>
              <w:t xml:space="preserve">99%</w:t>
            </w:r>
          </w:p>
        </w:tc>
        <w:tc>
          <w:tcPr/>
          <w:p>
            <w:pPr>
              <w:pStyle w:val="Compact"/>
              <w:jc w:val="center"/>
            </w:pPr>
            <w:r>
              <w:t xml:space="preserve">99%</w:t>
            </w:r>
          </w:p>
        </w:tc>
        <w:tc>
          <w:tcPr/>
          <w:p>
            <w:pPr>
              <w:pStyle w:val="Compact"/>
              <w:jc w:val="center"/>
            </w:pPr>
            <w:r>
              <w:t xml:space="preserve">8%</w:t>
            </w:r>
          </w:p>
        </w:tc>
        <w:tc>
          <w:tcPr/>
          <w:p>
            <w:pPr>
              <w:pStyle w:val="Compact"/>
              <w:jc w:val="center"/>
            </w:pPr>
            <w:r>
              <w:t xml:space="preserve">100%</w:t>
            </w:r>
          </w:p>
        </w:tc>
      </w:tr>
      <w:tr>
        <w:tc>
          <w:tcPr/>
          <w:p>
            <w:pPr>
              <w:pStyle w:val="Compact"/>
              <w:jc w:val="left"/>
            </w:pPr>
            <w:r>
              <w:t xml:space="preserve">t copula (df = 3), normal margins</w:t>
            </w:r>
          </w:p>
        </w:tc>
        <w:tc>
          <w:tcPr/>
          <w:p>
            <w:pPr>
              <w:pStyle w:val="Compact"/>
              <w:jc w:val="center"/>
            </w:pPr>
            <w:r>
              <w:t xml:space="preserve">100%</w:t>
            </w:r>
          </w:p>
        </w:tc>
        <w:tc>
          <w:tcPr/>
          <w:p>
            <w:pPr>
              <w:pStyle w:val="Compact"/>
              <w:jc w:val="center"/>
            </w:pPr>
            <w:r>
              <w:t xml:space="preserve">100%</w:t>
            </w:r>
          </w:p>
        </w:tc>
        <w:tc>
          <w:tcPr/>
          <w:p>
            <w:pPr>
              <w:pStyle w:val="Compact"/>
              <w:jc w:val="center"/>
            </w:pPr>
            <w:r>
              <w:t xml:space="preserve">11%</w:t>
            </w:r>
          </w:p>
        </w:tc>
        <w:tc>
          <w:tcPr/>
          <w:p>
            <w:pPr>
              <w:pStyle w:val="Compact"/>
              <w:jc w:val="center"/>
            </w:pPr>
            <w:r>
              <w:t xml:space="preserve">100%</w:t>
            </w:r>
          </w:p>
        </w:tc>
      </w:tr>
    </w:tbl>
    <w:bookmarkEnd w:id="44"/>
    <w:bookmarkStart w:id="84" w:name="references"/>
    <w:p>
      <w:pPr>
        <w:pStyle w:val="Heading1"/>
      </w:pPr>
      <w:r>
        <w:t xml:space="preserve">References</w:t>
      </w:r>
    </w:p>
    <w:bookmarkStart w:id="83" w:name="refs"/>
    <w:bookmarkStart w:id="46" w:name="ref-bauer2003"/>
    <w:p>
      <w:pPr>
        <w:pStyle w:val="Bibliography"/>
      </w:pPr>
      <w:r>
        <w:t xml:space="preserve">Bauer, D. J., &amp; Curran, P. J. (2003). Distributional assumptions of growth mixture models: Implications for overextraction of latent trajectory classes.</w:t>
      </w:r>
      <w:r>
        <w:t xml:space="preserve"> </w:t>
      </w:r>
      <w:r>
        <w:rPr>
          <w:i/>
          <w:iCs/>
        </w:rPr>
        <w:t xml:space="preserve">Psychological Methods</w:t>
      </w:r>
      <w:r>
        <w:t xml:space="preserve">,</w:t>
      </w:r>
      <w:r>
        <w:t xml:space="preserve"> </w:t>
      </w:r>
      <w:r>
        <w:rPr>
          <w:i/>
          <w:iCs/>
        </w:rPr>
        <w:t xml:space="preserve">8</w:t>
      </w:r>
      <w:r>
        <w:t xml:space="preserve">(3), 338–363.</w:t>
      </w:r>
      <w:r>
        <w:t xml:space="preserve"> </w:t>
      </w:r>
      <w:hyperlink r:id="rId45">
        <w:r>
          <w:rPr>
            <w:rStyle w:val="Hyperlink"/>
          </w:rPr>
          <w:t xml:space="preserve">https://doi.org/10.1037/1082-989X.8.3.338</w:t>
        </w:r>
      </w:hyperlink>
    </w:p>
    <w:bookmarkEnd w:id="46"/>
    <w:bookmarkStart w:id="47" w:name="ref-cover2006"/>
    <w:p>
      <w:pPr>
        <w:pStyle w:val="Bibliography"/>
      </w:pPr>
      <w:r>
        <w:t xml:space="preserve">Cover, T. M., &amp; Thomas, J. A. (2006).</w:t>
      </w:r>
      <w:r>
        <w:t xml:space="preserve"> </w:t>
      </w:r>
      <w:r>
        <w:rPr>
          <w:i/>
          <w:iCs/>
        </w:rPr>
        <w:t xml:space="preserve">Elements of information theory</w:t>
      </w:r>
      <w:r>
        <w:t xml:space="preserve"> </w:t>
      </w:r>
      <w:r>
        <w:t xml:space="preserve">(2nd ed.). Wiley.</w:t>
      </w:r>
    </w:p>
    <w:bookmarkEnd w:id="47"/>
    <w:bookmarkStart w:id="49" w:name="ref-gerlach2018"/>
    <w:p>
      <w:pPr>
        <w:pStyle w:val="Bibliography"/>
      </w:pPr>
      <w:r>
        <w:t xml:space="preserve">Gerlach, M., Farb, B., Revelle, W., &amp; Nunes Amaral, L. A. (2018). A robust data-driven approach identifies four personality types across four large data sets.</w:t>
      </w:r>
      <w:r>
        <w:t xml:space="preserve"> </w:t>
      </w:r>
      <w:r>
        <w:rPr>
          <w:i/>
          <w:iCs/>
        </w:rPr>
        <w:t xml:space="preserve">Nature Human Behaviour</w:t>
      </w:r>
      <w:r>
        <w:t xml:space="preserve">,</w:t>
      </w:r>
      <w:r>
        <w:t xml:space="preserve"> </w:t>
      </w:r>
      <w:r>
        <w:rPr>
          <w:i/>
          <w:iCs/>
        </w:rPr>
        <w:t xml:space="preserve">2</w:t>
      </w:r>
      <w:r>
        <w:t xml:space="preserve">(10), 735–742.</w:t>
      </w:r>
      <w:r>
        <w:t xml:space="preserve"> </w:t>
      </w:r>
      <w:hyperlink r:id="rId48">
        <w:r>
          <w:rPr>
            <w:rStyle w:val="Hyperlink"/>
          </w:rPr>
          <w:t xml:space="preserve">https://doi.org/10.1038/s41562-018-0419-z</w:t>
        </w:r>
      </w:hyperlink>
    </w:p>
    <w:bookmarkEnd w:id="49"/>
    <w:bookmarkStart w:id="50" w:name="ref-goldberg1999"/>
    <w:p>
      <w:pPr>
        <w:pStyle w:val="Bibliography"/>
      </w:pPr>
      <w:r>
        <w:t xml:space="preserve">Goldberg, L. R. (1999). A broad-bandwidth, public domain, personality inventory measuring the lower-level facets of several five-factor models. In I. Mervielde, I. Deary, F. De Fruyt, &amp; F. Ostendorf (Eds.),</w:t>
      </w:r>
      <w:r>
        <w:t xml:space="preserve"> </w:t>
      </w:r>
      <w:r>
        <w:rPr>
          <w:i/>
          <w:iCs/>
        </w:rPr>
        <w:t xml:space="preserve">Personality psychology in</w:t>
      </w:r>
      <w:r>
        <w:rPr>
          <w:i/>
          <w:iCs/>
        </w:rPr>
        <w:t xml:space="preserve"> </w:t>
      </w:r>
      <w:r>
        <w:rPr>
          <w:i/>
          <w:iCs/>
        </w:rPr>
        <w:t xml:space="preserve">Europe</w:t>
      </w:r>
      <w:r>
        <w:t xml:space="preserve"> </w:t>
      </w:r>
      <w:r>
        <w:t xml:space="preserve">(Vol. 7, pp. 7–28). Tilburg University Press.</w:t>
      </w:r>
    </w:p>
    <w:bookmarkEnd w:id="50"/>
    <w:bookmarkStart w:id="52" w:name="ref-hartigan1985"/>
    <w:p>
      <w:pPr>
        <w:pStyle w:val="Bibliography"/>
      </w:pPr>
      <w:r>
        <w:t xml:space="preserve">Hartigan, J. A., &amp; Hartigan, P. M. (1985). The dip test of unimodality.</w:t>
      </w:r>
      <w:r>
        <w:t xml:space="preserve"> </w:t>
      </w:r>
      <w:r>
        <w:rPr>
          <w:i/>
          <w:iCs/>
        </w:rPr>
        <w:t xml:space="preserve">Annals of Statistics</w:t>
      </w:r>
      <w:r>
        <w:t xml:space="preserve">,</w:t>
      </w:r>
      <w:r>
        <w:t xml:space="preserve"> </w:t>
      </w:r>
      <w:r>
        <w:rPr>
          <w:i/>
          <w:iCs/>
        </w:rPr>
        <w:t xml:space="preserve">13</w:t>
      </w:r>
      <w:r>
        <w:t xml:space="preserve">(1), 70–84.</w:t>
      </w:r>
      <w:r>
        <w:t xml:space="preserve"> </w:t>
      </w:r>
      <w:hyperlink r:id="rId51">
        <w:r>
          <w:rPr>
            <w:rStyle w:val="Hyperlink"/>
          </w:rPr>
          <w:t xml:space="preserve">https://doi.org/10.1214/aos/1176346577</w:t>
        </w:r>
      </w:hyperlink>
    </w:p>
    <w:bookmarkEnd w:id="52"/>
    <w:bookmarkStart w:id="54" w:name="ref-haslam2012"/>
    <w:p>
      <w:pPr>
        <w:pStyle w:val="Bibliography"/>
      </w:pPr>
      <w:r>
        <w:t xml:space="preserve">Haslam, N., Holland, E., &amp; Kuppens, P. (2012). Categories versus dimensions in personality and psychopathology: A quantitative review of taxometric research.</w:t>
      </w:r>
      <w:r>
        <w:t xml:space="preserve"> </w:t>
      </w:r>
      <w:r>
        <w:rPr>
          <w:i/>
          <w:iCs/>
        </w:rPr>
        <w:t xml:space="preserve">Psychological Medicine</w:t>
      </w:r>
      <w:r>
        <w:t xml:space="preserve">,</w:t>
      </w:r>
      <w:r>
        <w:t xml:space="preserve"> </w:t>
      </w:r>
      <w:r>
        <w:rPr>
          <w:i/>
          <w:iCs/>
        </w:rPr>
        <w:t xml:space="preserve">42</w:t>
      </w:r>
      <w:r>
        <w:t xml:space="preserve">(5), 903–920.</w:t>
      </w:r>
      <w:r>
        <w:t xml:space="preserve"> </w:t>
      </w:r>
      <w:hyperlink r:id="rId53">
        <w:r>
          <w:rPr>
            <w:rStyle w:val="Hyperlink"/>
          </w:rPr>
          <w:t xml:space="preserve">https://doi.org/10.1017/S0033291711001966</w:t>
        </w:r>
      </w:hyperlink>
    </w:p>
    <w:bookmarkEnd w:id="54"/>
    <w:bookmarkStart w:id="56" w:name="ref-haslam2020"/>
    <w:p>
      <w:pPr>
        <w:pStyle w:val="Bibliography"/>
      </w:pPr>
      <w:r>
        <w:t xml:space="preserve">Haslam, N., McGrath, M. J., Viechtbauer, W., &amp; Kuppens, P. (2020). Dimensions over categories: A meta-analysis of taxometric research.</w:t>
      </w:r>
      <w:r>
        <w:t xml:space="preserve"> </w:t>
      </w:r>
      <w:r>
        <w:rPr>
          <w:i/>
          <w:iCs/>
        </w:rPr>
        <w:t xml:space="preserve">Psychological Medicine</w:t>
      </w:r>
      <w:r>
        <w:t xml:space="preserve">,</w:t>
      </w:r>
      <w:r>
        <w:t xml:space="preserve"> </w:t>
      </w:r>
      <w:r>
        <w:rPr>
          <w:i/>
          <w:iCs/>
        </w:rPr>
        <w:t xml:space="preserve">50</w:t>
      </w:r>
      <w:r>
        <w:t xml:space="preserve">(9), 1418–1432.</w:t>
      </w:r>
      <w:r>
        <w:t xml:space="preserve"> </w:t>
      </w:r>
      <w:hyperlink r:id="rId55">
        <w:r>
          <w:rPr>
            <w:rStyle w:val="Hyperlink"/>
          </w:rPr>
          <w:t xml:space="preserve">https://doi.org/10.1017/S003329172000183X</w:t>
        </w:r>
      </w:hyperlink>
    </w:p>
    <w:bookmarkEnd w:id="56"/>
    <w:bookmarkStart w:id="58" w:name="ref-iman1982"/>
    <w:p>
      <w:pPr>
        <w:pStyle w:val="Bibliography"/>
      </w:pPr>
      <w:r>
        <w:t xml:space="preserve">Iman, R. L., &amp; Conover, W. J. (1982). A distribution-free approach to inducing rank correlation among input variables.</w:t>
      </w:r>
      <w:r>
        <w:t xml:space="preserve"> </w:t>
      </w:r>
      <w:r>
        <w:rPr>
          <w:i/>
          <w:iCs/>
        </w:rPr>
        <w:t xml:space="preserve">Communications in Statistics—Simulation and Computation</w:t>
      </w:r>
      <w:r>
        <w:t xml:space="preserve">,</w:t>
      </w:r>
      <w:r>
        <w:t xml:space="preserve"> </w:t>
      </w:r>
      <w:r>
        <w:rPr>
          <w:i/>
          <w:iCs/>
        </w:rPr>
        <w:t xml:space="preserve">11</w:t>
      </w:r>
      <w:r>
        <w:t xml:space="preserve">(3), 311–334.</w:t>
      </w:r>
      <w:r>
        <w:t xml:space="preserve"> </w:t>
      </w:r>
      <w:hyperlink r:id="rId57">
        <w:r>
          <w:rPr>
            <w:rStyle w:val="Hyperlink"/>
          </w:rPr>
          <w:t xml:space="preserve">https://doi.org/10.1080/03610918208812265</w:t>
        </w:r>
      </w:hyperlink>
    </w:p>
    <w:bookmarkEnd w:id="58"/>
    <w:bookmarkStart w:id="60" w:name="ref-johnson2014"/>
    <w:p>
      <w:pPr>
        <w:pStyle w:val="Bibliography"/>
      </w:pPr>
      <w:r>
        <w:t xml:space="preserve">Johnson, J. A. (2014). Measuring thirty facets of the five factor model with a 120-item public domain inventory: Development of the IPIP-NEO-120.</w:t>
      </w:r>
      <w:r>
        <w:t xml:space="preserve"> </w:t>
      </w:r>
      <w:r>
        <w:rPr>
          <w:i/>
          <w:iCs/>
        </w:rPr>
        <w:t xml:space="preserve">Journal of Research in Personality</w:t>
      </w:r>
      <w:r>
        <w:t xml:space="preserve">,</w:t>
      </w:r>
      <w:r>
        <w:t xml:space="preserve"> </w:t>
      </w:r>
      <w:r>
        <w:rPr>
          <w:i/>
          <w:iCs/>
        </w:rPr>
        <w:t xml:space="preserve">51</w:t>
      </w:r>
      <w:r>
        <w:t xml:space="preserve">, 78–89.</w:t>
      </w:r>
      <w:r>
        <w:t xml:space="preserve"> </w:t>
      </w:r>
      <w:hyperlink r:id="rId59">
        <w:r>
          <w:rPr>
            <w:rStyle w:val="Hyperlink"/>
          </w:rPr>
          <w:t xml:space="preserve">https://doi.org/10.1016/j.jrp.2014.05.003</w:t>
        </w:r>
      </w:hyperlink>
    </w:p>
    <w:bookmarkEnd w:id="60"/>
    <w:bookmarkStart w:id="62" w:name="ref-katahira2020"/>
    <w:p>
      <w:pPr>
        <w:pStyle w:val="Bibliography"/>
      </w:pPr>
      <w:r>
        <w:t xml:space="preserve">Katahira, K., Kunisato, Y., Yamashita, Y., &amp; Suzuki, S. (2020). Commentary: A robust data-driven approach identifies four personality types across four large data sets.</w:t>
      </w:r>
      <w:r>
        <w:t xml:space="preserve"> </w:t>
      </w:r>
      <w:r>
        <w:rPr>
          <w:i/>
          <w:iCs/>
        </w:rPr>
        <w:t xml:space="preserve">Frontiers in Big Data</w:t>
      </w:r>
      <w:r>
        <w:t xml:space="preserve">,</w:t>
      </w:r>
      <w:r>
        <w:t xml:space="preserve"> </w:t>
      </w:r>
      <w:r>
        <w:rPr>
          <w:i/>
          <w:iCs/>
        </w:rPr>
        <w:t xml:space="preserve">3</w:t>
      </w:r>
      <w:r>
        <w:t xml:space="preserve">, 8.</w:t>
      </w:r>
      <w:r>
        <w:t xml:space="preserve"> </w:t>
      </w:r>
      <w:hyperlink r:id="rId61">
        <w:r>
          <w:rPr>
            <w:rStyle w:val="Hyperlink"/>
          </w:rPr>
          <w:t xml:space="preserve">https://doi.org/10.3389/fdata.2020.00008</w:t>
        </w:r>
      </w:hyperlink>
    </w:p>
    <w:bookmarkEnd w:id="62"/>
    <w:bookmarkStart w:id="64" w:name="ref-lee2004"/>
    <w:p>
      <w:pPr>
        <w:pStyle w:val="Bibliography"/>
      </w:pPr>
      <w:r>
        <w:t xml:space="preserve">Lee, K., &amp; Ashton, M. C. (2004). Psychometric properties of the</w:t>
      </w:r>
      <w:r>
        <w:t xml:space="preserve"> </w:t>
      </w:r>
      <w:r>
        <w:t xml:space="preserve">HEXACO</w:t>
      </w:r>
      <w:r>
        <w:t xml:space="preserve"> </w:t>
      </w:r>
      <w:r>
        <w:t xml:space="preserve">personality inventory.</w:t>
      </w:r>
      <w:r>
        <w:t xml:space="preserve"> </w:t>
      </w:r>
      <w:r>
        <w:rPr>
          <w:i/>
          <w:iCs/>
        </w:rPr>
        <w:t xml:space="preserve">Multivariate Behavioral Research</w:t>
      </w:r>
      <w:r>
        <w:t xml:space="preserve">,</w:t>
      </w:r>
      <w:r>
        <w:t xml:space="preserve"> </w:t>
      </w:r>
      <w:r>
        <w:rPr>
          <w:i/>
          <w:iCs/>
        </w:rPr>
        <w:t xml:space="preserve">39</w:t>
      </w:r>
      <w:r>
        <w:t xml:space="preserve">(2), 329–358.</w:t>
      </w:r>
      <w:r>
        <w:t xml:space="preserve"> </w:t>
      </w:r>
      <w:hyperlink r:id="rId63">
        <w:r>
          <w:rPr>
            <w:rStyle w:val="Hyperlink"/>
          </w:rPr>
          <w:t xml:space="preserve">https://doi.org/10.1207/s15327906mbr3902_8</w:t>
        </w:r>
      </w:hyperlink>
    </w:p>
    <w:bookmarkEnd w:id="64"/>
    <w:bookmarkStart w:id="66" w:name="ref-liu2008"/>
    <w:p>
      <w:pPr>
        <w:pStyle w:val="Bibliography"/>
      </w:pPr>
      <w:r>
        <w:t xml:space="preserve">Liu, Y., Hayes, D. N., Nobel, A., &amp; Marron, J. S. (2008). Statistical significance of clustering for high-dimension, low-sample-size data.</w:t>
      </w:r>
      <w:r>
        <w:t xml:space="preserve"> </w:t>
      </w:r>
      <w:r>
        <w:rPr>
          <w:i/>
          <w:iCs/>
        </w:rPr>
        <w:t xml:space="preserve">Journal of the American Statistical Association</w:t>
      </w:r>
      <w:r>
        <w:t xml:space="preserve">,</w:t>
      </w:r>
      <w:r>
        <w:t xml:space="preserve"> </w:t>
      </w:r>
      <w:r>
        <w:rPr>
          <w:i/>
          <w:iCs/>
        </w:rPr>
        <w:t xml:space="preserve">103</w:t>
      </w:r>
      <w:r>
        <w:t xml:space="preserve">(483), 1281–1293.</w:t>
      </w:r>
      <w:r>
        <w:t xml:space="preserve"> </w:t>
      </w:r>
      <w:hyperlink r:id="rId65">
        <w:r>
          <w:rPr>
            <w:rStyle w:val="Hyperlink"/>
          </w:rPr>
          <w:t xml:space="preserve">https://doi.org/10.1198/016214508000000454</w:t>
        </w:r>
      </w:hyperlink>
    </w:p>
    <w:bookmarkEnd w:id="66"/>
    <w:bookmarkStart w:id="68" w:name="ref-mclachlan1987"/>
    <w:p>
      <w:pPr>
        <w:pStyle w:val="Bibliography"/>
      </w:pPr>
      <w:r>
        <w:t xml:space="preserve">McLachlan, G. J. (1987). On bootstrapping the likelihood ratio test statistic for the number of components in a normal mixture.</w:t>
      </w:r>
      <w:r>
        <w:t xml:space="preserve"> </w:t>
      </w:r>
      <w:r>
        <w:rPr>
          <w:i/>
          <w:iCs/>
        </w:rPr>
        <w:t xml:space="preserve">Journal of the Royal Statistical Society: Series C (Applied Statistics)</w:t>
      </w:r>
      <w:r>
        <w:t xml:space="preserve">,</w:t>
      </w:r>
      <w:r>
        <w:t xml:space="preserve"> </w:t>
      </w:r>
      <w:r>
        <w:rPr>
          <w:i/>
          <w:iCs/>
        </w:rPr>
        <w:t xml:space="preserve">36</w:t>
      </w:r>
      <w:r>
        <w:t xml:space="preserve">(3), 318–324.</w:t>
      </w:r>
      <w:r>
        <w:t xml:space="preserve"> </w:t>
      </w:r>
      <w:hyperlink r:id="rId67">
        <w:r>
          <w:rPr>
            <w:rStyle w:val="Hyperlink"/>
          </w:rPr>
          <w:t xml:space="preserve">https://doi.org/10.2307/2347790</w:t>
        </w:r>
      </w:hyperlink>
    </w:p>
    <w:bookmarkEnd w:id="68"/>
    <w:bookmarkStart w:id="70" w:name="ref-meehl1995"/>
    <w:p>
      <w:pPr>
        <w:pStyle w:val="Bibliography"/>
      </w:pPr>
      <w:r>
        <w:t xml:space="preserve">Meehl, P. E. (1995). Bootstraps taxometrics: Solving the classification problem in psychopathology.</w:t>
      </w:r>
      <w:r>
        <w:t xml:space="preserve"> </w:t>
      </w:r>
      <w:r>
        <w:rPr>
          <w:i/>
          <w:iCs/>
        </w:rPr>
        <w:t xml:space="preserve">American Psychologist</w:t>
      </w:r>
      <w:r>
        <w:t xml:space="preserve">,</w:t>
      </w:r>
      <w:r>
        <w:t xml:space="preserve"> </w:t>
      </w:r>
      <w:r>
        <w:rPr>
          <w:i/>
          <w:iCs/>
        </w:rPr>
        <w:t xml:space="preserve">50</w:t>
      </w:r>
      <w:r>
        <w:t xml:space="preserve">(4), 266–275.</w:t>
      </w:r>
      <w:r>
        <w:t xml:space="preserve"> </w:t>
      </w:r>
      <w:hyperlink r:id="rId69">
        <w:r>
          <w:rPr>
            <w:rStyle w:val="Hyperlink"/>
          </w:rPr>
          <w:t xml:space="preserve">https://doi.org/10.1037/0003-066X.50.4.266</w:t>
        </w:r>
      </w:hyperlink>
    </w:p>
    <w:bookmarkEnd w:id="70"/>
    <w:bookmarkStart w:id="72" w:name="ref-ruscio_rtax"/>
    <w:p>
      <w:pPr>
        <w:pStyle w:val="Bibliography"/>
      </w:pPr>
      <w:r>
        <w:t xml:space="preserve">Ruscio, J. (2023).</w:t>
      </w:r>
      <w:r>
        <w:t xml:space="preserve"> </w:t>
      </w:r>
      <w:r>
        <w:rPr>
          <w:i/>
          <w:iCs/>
        </w:rPr>
        <w:t xml:space="preserve">RTaxometrics: Taxometric analysis</w:t>
      </w:r>
      <w:r>
        <w:t xml:space="preserve"> </w:t>
      </w:r>
      <w:r>
        <w:t xml:space="preserve">(Version 3.2.1) [Computer software].</w:t>
      </w:r>
      <w:r>
        <w:t xml:space="preserve"> </w:t>
      </w:r>
      <w:hyperlink r:id="rId71">
        <w:r>
          <w:rPr>
            <w:rStyle w:val="Hyperlink"/>
          </w:rPr>
          <w:t xml:space="preserve">https://CRAN.R-project.org/package=RTaxometrics</w:t>
        </w:r>
      </w:hyperlink>
    </w:p>
    <w:bookmarkEnd w:id="72"/>
    <w:bookmarkStart w:id="73" w:name="ref-ruscio2006"/>
    <w:p>
      <w:pPr>
        <w:pStyle w:val="Bibliography"/>
      </w:pPr>
      <w:r>
        <w:t xml:space="preserve">Ruscio, J., Haslam, N., &amp; Ruscio, A. M. (2006).</w:t>
      </w:r>
      <w:r>
        <w:t xml:space="preserve"> </w:t>
      </w:r>
      <w:r>
        <w:rPr>
          <w:i/>
          <w:iCs/>
        </w:rPr>
        <w:t xml:space="preserve">Introduction to the taxometric method: A practical guide</w:t>
      </w:r>
      <w:r>
        <w:t xml:space="preserve">. Lawrence Erlbaum Associates.</w:t>
      </w:r>
    </w:p>
    <w:bookmarkEnd w:id="73"/>
    <w:bookmarkStart w:id="75" w:name="ref-schreiber2000"/>
    <w:p>
      <w:pPr>
        <w:pStyle w:val="Bibliography"/>
      </w:pPr>
      <w:r>
        <w:t xml:space="preserve">Schreiber, T., &amp; Schmitz, A. (2000). Surrogate time series.</w:t>
      </w:r>
      <w:r>
        <w:t xml:space="preserve"> </w:t>
      </w:r>
      <w:r>
        <w:rPr>
          <w:i/>
          <w:iCs/>
        </w:rPr>
        <w:t xml:space="preserve">Physica D: Nonlinear Phenomena</w:t>
      </w:r>
      <w:r>
        <w:t xml:space="preserve">,</w:t>
      </w:r>
      <w:r>
        <w:t xml:space="preserve"> </w:t>
      </w:r>
      <w:r>
        <w:rPr>
          <w:i/>
          <w:iCs/>
        </w:rPr>
        <w:t xml:space="preserve">142</w:t>
      </w:r>
      <w:r>
        <w:t xml:space="preserve">(3–4), 346–382.</w:t>
      </w:r>
      <w:r>
        <w:t xml:space="preserve"> </w:t>
      </w:r>
      <w:hyperlink r:id="rId74">
        <w:r>
          <w:rPr>
            <w:rStyle w:val="Hyperlink"/>
          </w:rPr>
          <w:t xml:space="preserve">https://doi.org/10.1016/S0167-2789(00)00043-9</w:t>
        </w:r>
      </w:hyperlink>
    </w:p>
    <w:bookmarkEnd w:id="75"/>
    <w:bookmarkStart w:id="77" w:name="ref-scrucca2016"/>
    <w:p>
      <w:pPr>
        <w:pStyle w:val="Bibliography"/>
      </w:pPr>
      <w:r>
        <w:t xml:space="preserve">Scrucca, L., Fop, M., Murphy, T. B., &amp; Raftery, A. E. (2016). Mclust 5: Clustering, classification and density estimation using</w:t>
      </w:r>
      <w:r>
        <w:t xml:space="preserve"> </w:t>
      </w:r>
      <w:r>
        <w:t xml:space="preserve">G</w:t>
      </w:r>
      <w:r>
        <w:t xml:space="preserve">aussian finite mixture models.</w:t>
      </w:r>
      <w:r>
        <w:t xml:space="preserve"> </w:t>
      </w:r>
      <w:r>
        <w:rPr>
          <w:i/>
          <w:iCs/>
        </w:rPr>
        <w:t xml:space="preserve">The R Journal</w:t>
      </w:r>
      <w:r>
        <w:t xml:space="preserve">,</w:t>
      </w:r>
      <w:r>
        <w:t xml:space="preserve"> </w:t>
      </w:r>
      <w:r>
        <w:rPr>
          <w:i/>
          <w:iCs/>
        </w:rPr>
        <w:t xml:space="preserve">8</w:t>
      </w:r>
      <w:r>
        <w:t xml:space="preserve">(1), 289–317.</w:t>
      </w:r>
      <w:r>
        <w:t xml:space="preserve"> </w:t>
      </w:r>
      <w:hyperlink r:id="rId76">
        <w:r>
          <w:rPr>
            <w:rStyle w:val="Hyperlink"/>
          </w:rPr>
          <w:t xml:space="preserve">https://doi.org/10.32614/RJ-2016-021</w:t>
        </w:r>
      </w:hyperlink>
    </w:p>
    <w:bookmarkEnd w:id="77"/>
    <w:bookmarkStart w:id="78" w:name="ref-sklar1959"/>
    <w:p>
      <w:pPr>
        <w:pStyle w:val="Bibliography"/>
      </w:pPr>
      <w:r>
        <w:t xml:space="preserve">Sklar, A. (1959). Fonctions de r</w:t>
      </w:r>
      <w:r>
        <w:t xml:space="preserve">é</w:t>
      </w:r>
      <w:r>
        <w:t xml:space="preserve">partition</w:t>
      </w:r>
      <w:r>
        <w:t xml:space="preserve"> </w:t>
      </w:r>
      <w:r>
        <w:t xml:space="preserve">à</w:t>
      </w:r>
      <w:r>
        <w:t xml:space="preserve"> </w:t>
      </w:r>
      <m:oMath>
        <m:r>
          <m:t>n</m:t>
        </m:r>
      </m:oMath>
      <w:r>
        <w:t xml:space="preserve"> </w:t>
      </w:r>
      <w:r>
        <w:t xml:space="preserve">dimensions et leurs marges.</w:t>
      </w:r>
      <w:r>
        <w:t xml:space="preserve"> </w:t>
      </w:r>
      <w:r>
        <w:rPr>
          <w:i/>
          <w:iCs/>
        </w:rPr>
        <w:t xml:space="preserve">Publications de l’Institut de Statistique de l’Universit</w:t>
      </w:r>
      <w:r>
        <w:rPr>
          <w:i/>
          <w:iCs/>
        </w:rPr>
        <w:t xml:space="preserve">é</w:t>
      </w:r>
      <w:r>
        <w:rPr>
          <w:i/>
          <w:iCs/>
        </w:rPr>
        <w:t xml:space="preserve"> </w:t>
      </w:r>
      <w:r>
        <w:rPr>
          <w:i/>
          <w:iCs/>
        </w:rPr>
        <w:t xml:space="preserve">de Paris</w:t>
      </w:r>
      <w:r>
        <w:t xml:space="preserve">,</w:t>
      </w:r>
      <w:r>
        <w:t xml:space="preserve"> </w:t>
      </w:r>
      <w:r>
        <w:rPr>
          <w:i/>
          <w:iCs/>
        </w:rPr>
        <w:t xml:space="preserve">8</w:t>
      </w:r>
      <w:r>
        <w:t xml:space="preserve">, 229–231.</w:t>
      </w:r>
    </w:p>
    <w:bookmarkEnd w:id="78"/>
    <w:bookmarkStart w:id="80" w:name="ref-theiler1992"/>
    <w:p>
      <w:pPr>
        <w:pStyle w:val="Bibliography"/>
      </w:pPr>
      <w:r>
        <w:t xml:space="preserve">Theiler, J., Eubank, S., Longtin, A., Galdrikian, B., &amp; Farmer, J. D. (1992). Testing for nonlinearity in time series: The method of surrogate data.</w:t>
      </w:r>
      <w:r>
        <w:t xml:space="preserve"> </w:t>
      </w:r>
      <w:r>
        <w:rPr>
          <w:i/>
          <w:iCs/>
        </w:rPr>
        <w:t xml:space="preserve">Physica D: Nonlinear Phenomena</w:t>
      </w:r>
      <w:r>
        <w:t xml:space="preserve">,</w:t>
      </w:r>
      <w:r>
        <w:t xml:space="preserve"> </w:t>
      </w:r>
      <w:r>
        <w:rPr>
          <w:i/>
          <w:iCs/>
        </w:rPr>
        <w:t xml:space="preserve">58</w:t>
      </w:r>
      <w:r>
        <w:t xml:space="preserve">(1–4), 77–94.</w:t>
      </w:r>
      <w:r>
        <w:t xml:space="preserve"> </w:t>
      </w:r>
      <w:hyperlink r:id="rId79">
        <w:r>
          <w:rPr>
            <w:rStyle w:val="Hyperlink"/>
          </w:rPr>
          <w:t xml:space="preserve">https://doi.org/10.1016/0167-2789(92)90102-S</w:t>
        </w:r>
      </w:hyperlink>
    </w:p>
    <w:bookmarkEnd w:id="80"/>
    <w:bookmarkStart w:id="82" w:name="ref-tibshirani2001"/>
    <w:p>
      <w:pPr>
        <w:pStyle w:val="Bibliography"/>
      </w:pPr>
      <w:r>
        <w:t xml:space="preserve">Tibshirani, R., Walther, G., &amp; Hastie, T. (2001). Estimating the number of clusters in a data set via the gap statistic.</w:t>
      </w:r>
      <w:r>
        <w:t xml:space="preserve"> </w:t>
      </w:r>
      <w:r>
        <w:rPr>
          <w:i/>
          <w:iCs/>
        </w:rPr>
        <w:t xml:space="preserve">Journal of the Royal Statistical Society: Series B</w:t>
      </w:r>
      <w:r>
        <w:t xml:space="preserve">,</w:t>
      </w:r>
      <w:r>
        <w:t xml:space="preserve"> </w:t>
      </w:r>
      <w:r>
        <w:rPr>
          <w:i/>
          <w:iCs/>
        </w:rPr>
        <w:t xml:space="preserve">63</w:t>
      </w:r>
      <w:r>
        <w:t xml:space="preserve">(2), 411–423.</w:t>
      </w:r>
      <w:r>
        <w:t xml:space="preserve"> </w:t>
      </w:r>
      <w:hyperlink r:id="rId81">
        <w:r>
          <w:rPr>
            <w:rStyle w:val="Hyperlink"/>
          </w:rPr>
          <w:t xml:space="preserve">https://doi.org/10.1111/1467-9868.00293</w:t>
        </w:r>
      </w:hyperlink>
    </w:p>
    <w:bookmarkEnd w:id="82"/>
    <w:bookmarkEnd w:id="83"/>
    <w:bookmarkEnd w:id="8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0" w:line="480" w:lineRule="auto"/>
      <w:ind w:firstLine="0"/>
    </w:pPr>
    <w:rPr>
      <w:rFonts w:ascii="Times New Roman" w:cs="Times New Roman" w:hAnsi="Times New Roman"/>
      <w:sz w:val="24"/>
    </w:rPr>
  </w:style>
  <w:style w:styleId="BodyText" w:type="paragraph">
    <w:name w:val="Body Text"/>
    <w:basedOn w:val="Normal"/>
    <w:link w:val="BodyTextChar"/>
    <w:qFormat/>
    <w:pPr>
      <w:spacing w:after="180" w:before="180"/>
      <w:ind w:firstLine="720"/>
    </w:pPr>
    <w:rPr>
      <w:rFonts w:ascii="Times New Roman" w:cs="Times New Roman" w:hAnsi="Times New Roman"/>
      <w:sz w:val="24"/>
    </w:rPr>
  </w:style>
  <w:style w:customStyle="1" w:styleId="FirstParagraph" w:type="paragraph">
    <w:name w:val="First Paragraph"/>
    <w:basedOn w:val="BodyText"/>
    <w:next w:val="BodyText"/>
    <w:qFormat/>
    <w:pPr>
      <w:ind w:firstLine="720"/>
    </w:pPr>
    <w:rPr>
      <w:rFonts w:ascii="Times New Roman" w:cs="Times New Roman" w:hAnsi="Times New Roman"/>
      <w:sz w:val="24"/>
    </w:rPr>
  </w:style>
  <w:style w:customStyle="1" w:styleId="Compact" w:type="paragraph">
    <w:name w:val="Compact"/>
    <w:basedOn w:val="BodyText"/>
    <w:qFormat/>
    <w:pPr>
      <w:spacing w:after="36" w:before="36"/>
      <w:ind w:firstLine="0"/>
    </w:pPr>
    <w:rPr>
      <w:rFonts w:ascii="Times New Roman" w:cs="Times New Roman" w:hAnsi="Times New Roman"/>
    </w:rPr>
  </w:style>
  <w:style w:styleId="Title" w:type="paragraph">
    <w:name w:val="Title"/>
    <w:basedOn w:val="Normal"/>
    <w:next w:val="BodyText"/>
    <w:link w:val="TitleChar"/>
    <w:uiPriority w:val="10"/>
    <w:qFormat/>
    <w:rsid w:val="00A10FD9"/>
    <w:pPr>
      <w:spacing w:after="80" w:line="480" w:lineRule="auto"/>
      <w:ind w:firstLine="0"/>
      <w:contextualSpacing/>
      <w:jc w:val="center"/>
    </w:pPr>
    <w:rPr>
      <w:rFonts w:ascii="Times New Roman" w:cs="Times New Roman" w:hAnsi="Times New Roman"/>
      <w:b/>
      <w:color w:val="000000"/>
      <w:sz w:val="24"/>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ind w:firstLine="0"/>
    </w:pPr>
    <w:rPr>
      <w:rFonts w:ascii="Times New Roman" w:cs="Times New Roman" w:hAnsi="Times New Roman"/>
      <w:b/>
      <w:spacing w:val="15"/>
      <w:sz w:val="24"/>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ind w:hanging="720" w:left="720"/>
    </w:pPr>
    <w:rPr>
      <w:rFonts w:ascii="Times New Roman" w:cs="Times New Roman" w:hAnsi="Times New Roman"/>
      <w:sz w:val="24"/>
    </w:rPr>
  </w:style>
  <w:style w:styleId="Heading1" w:type="paragraph">
    <w:name w:val="heading 1"/>
    <w:basedOn w:val="Normal"/>
    <w:next w:val="BodyText"/>
    <w:link w:val="Heading1Char"/>
    <w:uiPriority w:val="9"/>
    <w:qFormat/>
    <w:rsid w:val="00A10FD9"/>
    <w:pPr>
      <w:keepNext/>
      <w:keepLines/>
      <w:spacing w:after="80" w:before="360" w:line="480" w:lineRule="auto"/>
      <w:ind w:firstLine="0"/>
      <w:outlineLvl w:val="0"/>
    </w:pPr>
    <w:rPr>
      <w:rFonts w:ascii="Times New Roman" w:cs="Times New Roman" w:hAnsi="Times New Roman"/>
      <w:b/>
      <w:color w:val="000000"/>
      <w:sz w:val="24"/>
      <w:szCs w:val="40"/>
    </w:rPr>
  </w:style>
  <w:style w:styleId="Heading2" w:type="paragraph">
    <w:name w:val="heading 2"/>
    <w:basedOn w:val="Normal"/>
    <w:next w:val="BodyText"/>
    <w:link w:val="Heading2Char"/>
    <w:uiPriority w:val="9"/>
    <w:semiHidden/>
    <w:unhideWhenUsed/>
    <w:qFormat/>
    <w:rsid w:val="00A10FD9"/>
    <w:pPr>
      <w:keepNext/>
      <w:keepLines/>
      <w:spacing w:after="80" w:before="160" w:line="480" w:lineRule="auto"/>
      <w:ind w:firstLine="0"/>
      <w:outlineLvl w:val="1"/>
    </w:pPr>
    <w:rPr>
      <w:rFonts w:ascii="Times New Roman" w:cs="Times New Roman" w:hAnsi="Times New Roman"/>
      <w:b/>
      <w:color w:val="000000"/>
      <w:sz w:val="24"/>
      <w:szCs w:val="32"/>
    </w:rPr>
  </w:style>
  <w:style w:styleId="Heading3" w:type="paragraph">
    <w:name w:val="heading 3"/>
    <w:basedOn w:val="Normal"/>
    <w:next w:val="BodyText"/>
    <w:link w:val="Heading3Char"/>
    <w:uiPriority w:val="9"/>
    <w:semiHidden/>
    <w:unhideWhenUsed/>
    <w:qFormat/>
    <w:rsid w:val="00A10FD9"/>
    <w:pPr>
      <w:keepNext/>
      <w:keepLines/>
      <w:spacing w:after="80" w:before="160" w:line="480" w:lineRule="auto"/>
      <w:ind w:firstLine="0"/>
      <w:outlineLvl w:val="2"/>
    </w:pPr>
    <w:rPr>
      <w:rFonts w:ascii="Times New Roman" w:cs="Times New Roman" w:hAnsi="Times New Roman"/>
      <w:b/>
      <w:color w:val="000000"/>
      <w:sz w:val="24"/>
      <w:szCs w:val="28"/>
    </w:rPr>
  </w:style>
  <w:style w:styleId="Heading4" w:type="paragraph">
    <w:name w:val="heading 4"/>
    <w:basedOn w:val="Normal"/>
    <w:next w:val="BodyText"/>
    <w:link w:val="Heading4Char"/>
    <w:uiPriority w:val="9"/>
    <w:semiHidden/>
    <w:unhideWhenUsed/>
    <w:qFormat/>
    <w:rsid w:val="00A10FD9"/>
    <w:pPr>
      <w:keepNext/>
      <w:keepLines/>
      <w:spacing w:after="40" w:before="80"/>
      <w:ind w:firstLine="0"/>
      <w:outlineLvl w:val="3"/>
    </w:pPr>
    <w:rPr>
      <w:rFonts w:ascii="Times New Roman" w:cs="Times New Roman" w:hAnsi="Times New Roman"/>
      <w:b/>
      <w:i/>
      <w:iCs/>
      <w:color w:themeColor="accent1" w:themeShade="BF" w:val="0F4761"/>
      <w:sz w:val="24"/>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rPr>
      <w:rFonts w:ascii="Times New Roman" w:cs="Times New Roman" w:hAnsi="Times New Roman"/>
    </w:rPr>
  </w:style>
  <w:style w:styleId="FootnoteText" w:type="paragraph">
    <w:name w:val="Footnote Text"/>
    <w:basedOn w:val="Normal"/>
    <w:next w:val="FootnoteText"/>
    <w:uiPriority w:val="9"/>
    <w:unhideWhenUsed/>
    <w:qFormat/>
    <w:pPr>
      <w:spacing w:line="240" w:lineRule="auto"/>
      <w:ind w:firstLine="0"/>
    </w:pPr>
    <w:rPr>
      <w:rFonts w:ascii="Times New Roman" w:cs="Times New Roman" w:hAnsi="Times New Roman"/>
      <w:sz w:val="20"/>
    </w:rPr>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pPr>
      <w:ind w:firstLine="0"/>
    </w:pPr>
    <w:rPr>
      <w:rFonts w:ascii="Times New Roman" w:cs="Times New Roman" w:hAnsi="Times New Roman"/>
    </w:rPr>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rFonts w:ascii="Times New Roman" w:cs="Times New Roman" w:hAnsi="Times New Roman"/>
      <w:i/>
    </w:rPr>
  </w:style>
  <w:style w:customStyle="1" w:styleId="TableCaption" w:type="paragraph">
    <w:name w:val="Table Caption"/>
    <w:basedOn w:val="Caption"/>
    <w:pPr>
      <w:keepNext/>
    </w:pPr>
    <w:rPr>
      <w:rFonts w:ascii="Times New Roman" w:cs="Times New Roman" w:hAnsi="Times New Roman"/>
    </w:rPr>
  </w:style>
  <w:style w:customStyle="1" w:styleId="ImageCaption" w:type="paragraph">
    <w:name w:val="Image Caption"/>
    <w:basedOn w:val="Caption"/>
    <w:rPr>
      <w:rFonts w:ascii="Times New Roman" w:cs="Times New Roman" w:hAnsi="Times New Roman"/>
    </w:rPr>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rFonts w:ascii="Times New Roman" w:cs="Times New Roman" w:hAnsi="Times New Roman"/>
      <w:sz w:val="20"/>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29" Target="media/rId29.png" /><Relationship Type="http://schemas.openxmlformats.org/officeDocument/2006/relationships/image" Id="rId33" Target="media/rId33.png" /><Relationship Type="http://schemas.openxmlformats.org/officeDocument/2006/relationships/image" Id="rId21" Target="media/rId21.png" /><Relationship Type="http://schemas.openxmlformats.org/officeDocument/2006/relationships/hyperlink" Id="rId71" Target="https://CRAN.R-project.org/package=RTaxometrics" TargetMode="External" /><Relationship Type="http://schemas.openxmlformats.org/officeDocument/2006/relationships/hyperlink" Id="rId79" Target="https://doi.org/10.1016/0167-2789(92)90102-S" TargetMode="External" /><Relationship Type="http://schemas.openxmlformats.org/officeDocument/2006/relationships/hyperlink" Id="rId74" Target="https://doi.org/10.1016/S0167-2789(00)00043-9" TargetMode="External" /><Relationship Type="http://schemas.openxmlformats.org/officeDocument/2006/relationships/hyperlink" Id="rId59" Target="https://doi.org/10.1016/j.jrp.2014.05.003" TargetMode="External" /><Relationship Type="http://schemas.openxmlformats.org/officeDocument/2006/relationships/hyperlink" Id="rId53" Target="https://doi.org/10.1017/S0033291711001966" TargetMode="External" /><Relationship Type="http://schemas.openxmlformats.org/officeDocument/2006/relationships/hyperlink" Id="rId55" Target="https://doi.org/10.1017/S003329172000183X" TargetMode="External" /><Relationship Type="http://schemas.openxmlformats.org/officeDocument/2006/relationships/hyperlink" Id="rId69" Target="https://doi.org/10.1037/0003-066X.50.4.266" TargetMode="External" /><Relationship Type="http://schemas.openxmlformats.org/officeDocument/2006/relationships/hyperlink" Id="rId45" Target="https://doi.org/10.1037/1082-989X.8.3.338" TargetMode="External" /><Relationship Type="http://schemas.openxmlformats.org/officeDocument/2006/relationships/hyperlink" Id="rId48" Target="https://doi.org/10.1038/s41562-018-0419-z" TargetMode="External" /><Relationship Type="http://schemas.openxmlformats.org/officeDocument/2006/relationships/hyperlink" Id="rId57" Target="https://doi.org/10.1080/03610918208812265" TargetMode="External" /><Relationship Type="http://schemas.openxmlformats.org/officeDocument/2006/relationships/hyperlink" Id="rId81" Target="https://doi.org/10.1111/1467-9868.00293" TargetMode="External" /><Relationship Type="http://schemas.openxmlformats.org/officeDocument/2006/relationships/hyperlink" Id="rId65" Target="https://doi.org/10.1198/016214508000000454" TargetMode="External" /><Relationship Type="http://schemas.openxmlformats.org/officeDocument/2006/relationships/hyperlink" Id="rId63" Target="https://doi.org/10.1207/s15327906mbr3902_8" TargetMode="External" /><Relationship Type="http://schemas.openxmlformats.org/officeDocument/2006/relationships/hyperlink" Id="rId51" Target="https://doi.org/10.1214/aos/1176346577" TargetMode="External" /><Relationship Type="http://schemas.openxmlformats.org/officeDocument/2006/relationships/hyperlink" Id="rId41" Target="https://doi.org/10.17605/OSF.IO/2EKCG" TargetMode="External" /><Relationship Type="http://schemas.openxmlformats.org/officeDocument/2006/relationships/hyperlink" Id="rId67" Target="https://doi.org/10.2307/2347790" TargetMode="External" /><Relationship Type="http://schemas.openxmlformats.org/officeDocument/2006/relationships/hyperlink" Id="rId76" Target="https://doi.org/10.32614/RJ-2016-021" TargetMode="External" /><Relationship Type="http://schemas.openxmlformats.org/officeDocument/2006/relationships/hyperlink" Id="rId61" Target="https://doi.org/10.3389/fdata.2020.00008" TargetMode="External" /><Relationship Type="http://schemas.openxmlformats.org/officeDocument/2006/relationships/hyperlink" Id="rId9" Target="https://github.com/haomeng797-ship-it/matchednull" TargetMode="External" /><Relationship Type="http://schemas.openxmlformats.org/officeDocument/2006/relationships/hyperlink" Id="rId40" Target="https://github.com/haomeng797-ship-it/types-without-taxa" TargetMode="External" /></Relationships>
</file>

<file path=word/_rels/footnotes.xml.rels><?xml version="1.0" encoding="UTF-8"?><Relationships xmlns="http://schemas.openxmlformats.org/package/2006/relationships"><Relationship Type="http://schemas.openxmlformats.org/officeDocument/2006/relationships/hyperlink" Id="rId71" Target="https://CRAN.R-project.org/package=RTaxometrics" TargetMode="External" /><Relationship Type="http://schemas.openxmlformats.org/officeDocument/2006/relationships/hyperlink" Id="rId79" Target="https://doi.org/10.1016/0167-2789(92)90102-S" TargetMode="External" /><Relationship Type="http://schemas.openxmlformats.org/officeDocument/2006/relationships/hyperlink" Id="rId74" Target="https://doi.org/10.1016/S0167-2789(00)00043-9" TargetMode="External" /><Relationship Type="http://schemas.openxmlformats.org/officeDocument/2006/relationships/hyperlink" Id="rId59" Target="https://doi.org/10.1016/j.jrp.2014.05.003" TargetMode="External" /><Relationship Type="http://schemas.openxmlformats.org/officeDocument/2006/relationships/hyperlink" Id="rId53" Target="https://doi.org/10.1017/S0033291711001966" TargetMode="External" /><Relationship Type="http://schemas.openxmlformats.org/officeDocument/2006/relationships/hyperlink" Id="rId55" Target="https://doi.org/10.1017/S003329172000183X" TargetMode="External" /><Relationship Type="http://schemas.openxmlformats.org/officeDocument/2006/relationships/hyperlink" Id="rId69" Target="https://doi.org/10.1037/0003-066X.50.4.266" TargetMode="External" /><Relationship Type="http://schemas.openxmlformats.org/officeDocument/2006/relationships/hyperlink" Id="rId45" Target="https://doi.org/10.1037/1082-989X.8.3.338" TargetMode="External" /><Relationship Type="http://schemas.openxmlformats.org/officeDocument/2006/relationships/hyperlink" Id="rId48" Target="https://doi.org/10.1038/s41562-018-0419-z" TargetMode="External" /><Relationship Type="http://schemas.openxmlformats.org/officeDocument/2006/relationships/hyperlink" Id="rId57" Target="https://doi.org/10.1080/03610918208812265" TargetMode="External" /><Relationship Type="http://schemas.openxmlformats.org/officeDocument/2006/relationships/hyperlink" Id="rId81" Target="https://doi.org/10.1111/1467-9868.00293" TargetMode="External" /><Relationship Type="http://schemas.openxmlformats.org/officeDocument/2006/relationships/hyperlink" Id="rId65" Target="https://doi.org/10.1198/016214508000000454" TargetMode="External" /><Relationship Type="http://schemas.openxmlformats.org/officeDocument/2006/relationships/hyperlink" Id="rId63" Target="https://doi.org/10.1207/s15327906mbr3902_8" TargetMode="External" /><Relationship Type="http://schemas.openxmlformats.org/officeDocument/2006/relationships/hyperlink" Id="rId51" Target="https://doi.org/10.1214/aos/1176346577" TargetMode="External" /><Relationship Type="http://schemas.openxmlformats.org/officeDocument/2006/relationships/hyperlink" Id="rId41" Target="https://doi.org/10.17605/OSF.IO/2EKCG" TargetMode="External" /><Relationship Type="http://schemas.openxmlformats.org/officeDocument/2006/relationships/hyperlink" Id="rId67" Target="https://doi.org/10.2307/2347790" TargetMode="External" /><Relationship Type="http://schemas.openxmlformats.org/officeDocument/2006/relationships/hyperlink" Id="rId76" Target="https://doi.org/10.32614/RJ-2016-021" TargetMode="External" /><Relationship Type="http://schemas.openxmlformats.org/officeDocument/2006/relationships/hyperlink" Id="rId61" Target="https://doi.org/10.3389/fdata.2020.00008" TargetMode="External" /><Relationship Type="http://schemas.openxmlformats.org/officeDocument/2006/relationships/hyperlink" Id="rId9" Target="https://github.com/haomeng797-ship-it/matchednull" TargetMode="External" /><Relationship Type="http://schemas.openxmlformats.org/officeDocument/2006/relationships/hyperlink" Id="rId40" Target="https://github.com/haomeng797-ship-it/types-without-tax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Matched-Null Test of Whether the Clusters a Pipeline Reports Are Real, With an Application to Personality Types</dc:title>
  <dc:creator>Miura Meng — Graduate School of Education, University of Pennsylvania</dc:creator>
  <cp:keywords>cluster analysis, matched null, mixture models, taxometrics, R package</cp:keywords>
  <dcterms:created xsi:type="dcterms:W3CDTF">2026-07-11T11:37:08Z</dcterms:created>
  <dcterms:modified xsi:type="dcterms:W3CDTF">2026-07-11T11:37:08Z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bstract">
    <vt:lpwstr>A clustering algorithm applied to continuous data will report some number of clusters, or “types,” whether or not any exist, and a selection criterion will usually prefer more than one. This tutorial introduces matchednull, an R package implementing a general test of whether a reported cluster count describes the population or only the shape of the data. The test builds a matched null: a synthetic twin of the dataset that preserves every variable’s distribution exactly and the full correlation matrix, while containing no clusters by construction. Because the null is defined on the data rather than on any algorithm, the user’s own pipeline runs unchanged on data and twins alike, and the real count is read against the twins’ distribution. In calibration on typeless data with skewed margins, BIC selection and the bootstrap likelihood-ratio test report spurious structure in every dataset while the matched-null test fires in none; in positive controls the test detects types built into synthetic data, including types that leave every marginal distribution untouched. A worked example applies the full workflow, preregistered and run on held-out data, to three public personality datasets totaling roughly one million respondents: the number of “types” selected swings from one to ten with a single covariance setting, and by the registered statistic it never exceeds what the typeless twin produces, under a Gaussian mixture and under k-means alike. The tutorial closes with the test’s operating boundaries and what exceeding the null does and does not mean.</vt:lpwstr>
  </property>
  <property fmtid="{D5CDD505-2E9C-101B-9397-08002B2CF9AE}" pid="3" name="authors">
    <vt:lpwstr/>
  </property>
  <property fmtid="{D5CDD505-2E9C-101B-9397-08002B2CF9AE}" pid="4" name="biblio-config">
    <vt:lpwstr>True</vt:lpwstr>
  </property>
  <property fmtid="{D5CDD505-2E9C-101B-9397-08002B2CF9AE}" pid="5" name="bibliography">
    <vt:lpwstr>references.bib</vt:lpwstr>
  </property>
  <property fmtid="{D5CDD505-2E9C-101B-9397-08002B2CF9AE}" pid="6" name="by-author">
    <vt:lpwstr/>
  </property>
  <property fmtid="{D5CDD505-2E9C-101B-9397-08002B2CF9AE}" pid="7" name="csl">
    <vt:lpwstr>apa.csl</vt:lpwstr>
  </property>
  <property fmtid="{D5CDD505-2E9C-101B-9397-08002B2CF9AE}" pid="8" name="date">
    <vt:lpwstr>2026-07-11</vt:lpwstr>
  </property>
  <property fmtid="{D5CDD505-2E9C-101B-9397-08002B2CF9AE}" pid="9" name="engines">
    <vt:lpwstr/>
  </property>
  <property fmtid="{D5CDD505-2E9C-101B-9397-08002B2CF9AE}" pid="10" name="execute">
    <vt:lpwstr/>
  </property>
  <property fmtid="{D5CDD505-2E9C-101B-9397-08002B2CF9AE}" pid="11" name="header-includes">
    <vt:lpwstr/>
  </property>
  <property fmtid="{D5CDD505-2E9C-101B-9397-08002B2CF9AE}" pid="12" name="include-after">
    <vt:lpwstr/>
  </property>
  <property fmtid="{D5CDD505-2E9C-101B-9397-08002B2CF9AE}" pid="13" name="include-before">
    <vt:lpwstr/>
  </property>
  <property fmtid="{D5CDD505-2E9C-101B-9397-08002B2CF9AE}" pid="14" name="labels">
    <vt:lpwstr/>
  </property>
  <property fmtid="{D5CDD505-2E9C-101B-9397-08002B2CF9AE}" pid="15" name="toc-title">
    <vt:lpwstr>Table of contents</vt:lpwstr>
  </property>
</Properties>
</file>